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142A" w14:textId="2352B119" w:rsidR="006E0FE1" w:rsidRPr="006E0FE1" w:rsidRDefault="006E0FE1" w:rsidP="002B4DD3">
      <w:pPr>
        <w:pStyle w:val="Titolo2"/>
        <w:jc w:val="center"/>
        <w:rPr>
          <w:b w:val="0"/>
          <w:bCs w:val="0"/>
          <w:i w:val="0"/>
          <w:iCs w:val="0"/>
          <w:sz w:val="23"/>
          <w:szCs w:val="23"/>
        </w:rPr>
      </w:pPr>
      <w:r w:rsidRPr="006E0FE1">
        <w:rPr>
          <w:sz w:val="42"/>
          <w:szCs w:val="42"/>
        </w:rPr>
        <w:t>STUDIO</w:t>
      </w:r>
      <w:r w:rsidRPr="006E0FE1">
        <w:rPr>
          <w:sz w:val="46"/>
          <w:szCs w:val="46"/>
        </w:rPr>
        <w:t xml:space="preserve">   </w:t>
      </w:r>
      <w:r w:rsidRPr="006E0FE1">
        <w:rPr>
          <w:sz w:val="42"/>
          <w:szCs w:val="42"/>
        </w:rPr>
        <w:t>BELCASTRO</w:t>
      </w:r>
    </w:p>
    <w:p w14:paraId="71037DB3" w14:textId="77777777" w:rsidR="006E0FE1" w:rsidRPr="006E0FE1" w:rsidRDefault="006E0FE1" w:rsidP="006E0FE1">
      <w:pPr>
        <w:pStyle w:val="Titolo3"/>
        <w:rPr>
          <w:sz w:val="23"/>
          <w:szCs w:val="23"/>
        </w:rPr>
      </w:pPr>
      <w:r w:rsidRPr="006E0FE1">
        <w:rPr>
          <w:sz w:val="23"/>
          <w:szCs w:val="23"/>
        </w:rPr>
        <w:t>Dott. Claudio Belcastro</w:t>
      </w:r>
    </w:p>
    <w:p w14:paraId="2DFA325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Sergio Policheni</w:t>
      </w:r>
    </w:p>
    <w:p w14:paraId="726A064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Antonio Albanese</w:t>
      </w:r>
    </w:p>
    <w:p w14:paraId="687EAC8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Emanuela Candido</w:t>
      </w:r>
    </w:p>
    <w:p w14:paraId="5EAC900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Maria Teresa Cimarosa</w:t>
      </w:r>
    </w:p>
    <w:p w14:paraId="1D1E3B1B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Saverio Leotta</w:t>
      </w:r>
    </w:p>
    <w:p w14:paraId="2BCE3721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Cristina Pelle</w:t>
      </w:r>
    </w:p>
    <w:p w14:paraId="2125A8EF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Caterina Piccolo</w:t>
      </w:r>
    </w:p>
    <w:p w14:paraId="3CCE984A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Santina Sansotta</w:t>
      </w:r>
    </w:p>
    <w:p w14:paraId="5CB522F3" w14:textId="77777777" w:rsidR="006E0FE1" w:rsidRPr="006E0FE1" w:rsidRDefault="006E0FE1" w:rsidP="006E0FE1">
      <w:pPr>
        <w:pStyle w:val="Titolo4"/>
        <w:rPr>
          <w:sz w:val="19"/>
          <w:szCs w:val="19"/>
        </w:rPr>
      </w:pPr>
    </w:p>
    <w:p w14:paraId="2C0ABCD7" w14:textId="77777777" w:rsidR="006E0FE1" w:rsidRPr="006E0FE1" w:rsidRDefault="006E0FE1" w:rsidP="006E0FE1">
      <w:pPr>
        <w:pStyle w:val="Titolo5"/>
        <w:rPr>
          <w:sz w:val="23"/>
          <w:szCs w:val="23"/>
        </w:rPr>
      </w:pPr>
      <w:r w:rsidRPr="006E0FE1">
        <w:rPr>
          <w:sz w:val="23"/>
          <w:szCs w:val="23"/>
        </w:rPr>
        <w:t xml:space="preserve">Dott. Claudio Belcastro                                                         </w:t>
      </w:r>
    </w:p>
    <w:p w14:paraId="32FB418C" w14:textId="77777777" w:rsidR="006E0FE1" w:rsidRPr="006E0FE1" w:rsidRDefault="006E0FE1" w:rsidP="006E0FE1">
      <w:pPr>
        <w:pStyle w:val="Titolo5"/>
        <w:rPr>
          <w:sz w:val="15"/>
          <w:szCs w:val="15"/>
        </w:rPr>
      </w:pPr>
      <w:r w:rsidRPr="006E0FE1">
        <w:rPr>
          <w:sz w:val="15"/>
          <w:szCs w:val="15"/>
        </w:rPr>
        <w:t>Dottore Commercialista – Revisore Contabile</w:t>
      </w:r>
    </w:p>
    <w:p w14:paraId="6C0E6F99" w14:textId="77777777" w:rsidR="006E0FE1" w:rsidRPr="006E0FE1" w:rsidRDefault="006E0FE1" w:rsidP="006E0FE1">
      <w:pPr>
        <w:pStyle w:val="Titolo5"/>
        <w:rPr>
          <w:bCs w:val="0"/>
          <w:iCs w:val="0"/>
          <w:sz w:val="15"/>
          <w:szCs w:val="15"/>
        </w:rPr>
      </w:pPr>
      <w:r w:rsidRPr="006A0ADA">
        <w:rPr>
          <w:bCs w:val="0"/>
          <w:iCs w:val="0"/>
          <w:sz w:val="15"/>
          <w:szCs w:val="15"/>
        </w:rPr>
        <w:t xml:space="preserve">c.f. BLC CLD 55S14 D976H  -  p.i.  </w:t>
      </w:r>
      <w:r w:rsidRPr="006E0FE1">
        <w:rPr>
          <w:bCs w:val="0"/>
          <w:iCs w:val="0"/>
          <w:sz w:val="15"/>
          <w:szCs w:val="15"/>
        </w:rPr>
        <w:t>00721660801</w:t>
      </w:r>
    </w:p>
    <w:p w14:paraId="5A073701" w14:textId="77777777" w:rsidR="006E0FE1" w:rsidRDefault="006E0FE1" w:rsidP="006E0FE1">
      <w:pPr>
        <w:rPr>
          <w:rFonts w:ascii="Century" w:hAnsi="Century"/>
          <w:b/>
          <w:bCs/>
          <w:i/>
          <w:iCs/>
        </w:rPr>
      </w:pPr>
    </w:p>
    <w:p w14:paraId="0865AB23" w14:textId="77777777" w:rsidR="00913301" w:rsidRDefault="00913301" w:rsidP="006E0FE1">
      <w:pPr>
        <w:rPr>
          <w:rFonts w:ascii="Century" w:hAnsi="Century"/>
          <w:b/>
          <w:bCs/>
          <w:i/>
          <w:iCs/>
        </w:rPr>
      </w:pPr>
    </w:p>
    <w:p w14:paraId="521F580D" w14:textId="0C50939F" w:rsidR="00EE27B3" w:rsidRPr="00EE27B3" w:rsidRDefault="00913301" w:rsidP="00EE27B3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 xml:space="preserve">Circolare Informativa </w:t>
      </w:r>
      <w:r w:rsidR="006A41A2">
        <w:rPr>
          <w:rFonts w:ascii="Century" w:hAnsi="Century"/>
          <w:b/>
          <w:bCs/>
          <w:i/>
          <w:iCs/>
        </w:rPr>
        <w:t xml:space="preserve">n. </w:t>
      </w:r>
      <w:r w:rsidR="003363A3">
        <w:rPr>
          <w:rFonts w:ascii="Century" w:hAnsi="Century"/>
          <w:b/>
          <w:bCs/>
          <w:i/>
          <w:iCs/>
        </w:rPr>
        <w:t>1</w:t>
      </w:r>
      <w:r w:rsidR="00D37BA0">
        <w:rPr>
          <w:rFonts w:ascii="Century" w:hAnsi="Century"/>
          <w:b/>
          <w:bCs/>
          <w:i/>
          <w:iCs/>
        </w:rPr>
        <w:t>2</w:t>
      </w:r>
      <w:r w:rsidR="006A41A2">
        <w:rPr>
          <w:rFonts w:ascii="Century" w:hAnsi="Century"/>
          <w:b/>
          <w:bCs/>
          <w:i/>
          <w:iCs/>
        </w:rPr>
        <w:t xml:space="preserve"> </w:t>
      </w:r>
      <w:r>
        <w:rPr>
          <w:rFonts w:ascii="Century" w:hAnsi="Century"/>
          <w:b/>
          <w:bCs/>
          <w:i/>
          <w:iCs/>
        </w:rPr>
        <w:t xml:space="preserve">del </w:t>
      </w:r>
      <w:r w:rsidR="00D37BA0">
        <w:rPr>
          <w:rFonts w:ascii="Century" w:hAnsi="Century"/>
          <w:b/>
          <w:bCs/>
          <w:i/>
          <w:iCs/>
        </w:rPr>
        <w:t>19.06.2026</w:t>
      </w:r>
    </w:p>
    <w:p w14:paraId="6800EA9A" w14:textId="77777777" w:rsidR="00EE27B3" w:rsidRDefault="00EE27B3" w:rsidP="00695650">
      <w:pPr>
        <w:rPr>
          <w:rFonts w:ascii="Century" w:hAnsi="Century"/>
          <w:b/>
          <w:bCs/>
          <w:i/>
          <w:iCs/>
        </w:rPr>
      </w:pPr>
    </w:p>
    <w:p w14:paraId="79DC2EB0" w14:textId="46A5F6FC" w:rsidR="00695650" w:rsidRDefault="006A41A2" w:rsidP="00695650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>Indice Argomenti</w:t>
      </w:r>
      <w:r w:rsidR="006E0FE1" w:rsidRPr="002B4DD3">
        <w:rPr>
          <w:rFonts w:ascii="Century" w:hAnsi="Century"/>
          <w:b/>
          <w:bCs/>
          <w:i/>
          <w:iCs/>
        </w:rPr>
        <w:t xml:space="preserve">: </w:t>
      </w:r>
    </w:p>
    <w:p w14:paraId="694700AF" w14:textId="3FE03655" w:rsidR="00205F1F" w:rsidRPr="00205F1F" w:rsidRDefault="00D37BA0" w:rsidP="00D37BA0">
      <w:pPr>
        <w:pStyle w:val="Corpodeltesto2"/>
        <w:numPr>
          <w:ilvl w:val="0"/>
          <w:numId w:val="30"/>
        </w:numPr>
      </w:pPr>
      <w:r w:rsidRPr="00D37BA0">
        <w:rPr>
          <w:u w:val="single"/>
        </w:rPr>
        <w:t>Proroga scissione pagamenti (Split payment)</w:t>
      </w:r>
    </w:p>
    <w:p w14:paraId="2877302C" w14:textId="77777777" w:rsidR="00205F1F" w:rsidRDefault="00205F1F" w:rsidP="00205F1F">
      <w:pPr>
        <w:pStyle w:val="Corpodeltesto2"/>
      </w:pPr>
    </w:p>
    <w:p w14:paraId="29A7B269" w14:textId="77777777" w:rsidR="00D37BA0" w:rsidRPr="00D37BA0" w:rsidRDefault="00D37BA0" w:rsidP="00D37BA0">
      <w:pPr>
        <w:pStyle w:val="Corpodeltesto2"/>
      </w:pPr>
      <w:r w:rsidRPr="00D37BA0">
        <w:t>Il </w:t>
      </w:r>
      <w:r w:rsidRPr="00D37BA0">
        <w:rPr>
          <w:u w:val="single"/>
        </w:rPr>
        <w:t>30 giugno 2026 non dovrebbe rappresentare la fine dello split payment.</w:t>
      </w:r>
      <w:r w:rsidRPr="00D37BA0">
        <w:t> </w:t>
      </w:r>
      <w:r w:rsidRPr="00D37BA0">
        <w:br/>
      </w:r>
      <w:r w:rsidRPr="00D37BA0">
        <w:br/>
        <w:t>Il meccanismo della scissione dei pagamenti IVA è infatti destinato a proseguire, dopo il passaggio favorevole della Commissione europea sulla richiesta italiana di proroga. </w:t>
      </w:r>
    </w:p>
    <w:p w14:paraId="21743EDD" w14:textId="62167ECD" w:rsidR="00D37BA0" w:rsidRPr="00D37BA0" w:rsidRDefault="00D37BA0" w:rsidP="00D37BA0">
      <w:pPr>
        <w:pStyle w:val="Corpodeltesto2"/>
      </w:pPr>
      <w:r w:rsidRPr="00D37BA0">
        <w:t>La decisione non è ancora definitiva, perché l’ultimo via libera spetta al Consiglio dell’Unione europea. Tuttavia, l’adozione della proposta da parte della Commissione rappresenta un passaggio sostanziale nell’iter autorizzativo. </w:t>
      </w:r>
    </w:p>
    <w:p w14:paraId="039C5A2A" w14:textId="77777777" w:rsidR="00D37BA0" w:rsidRPr="00D37BA0" w:rsidRDefault="00D37BA0" w:rsidP="00D37BA0">
      <w:pPr>
        <w:pStyle w:val="Corpodeltesto2"/>
      </w:pPr>
      <w:r w:rsidRPr="00D37BA0">
        <w:t>In termini pratici, salvo sorprese nella fase finale, le fatture emesse verso i soggetti rientranti nel perimetro dello split payment continueranno a essere gestite con le regole attuali anche dopo la scadenza del 30 giugno.</w:t>
      </w:r>
    </w:p>
    <w:p w14:paraId="203BA160" w14:textId="77777777" w:rsidR="00D37BA0" w:rsidRPr="00D37BA0" w:rsidRDefault="00D37BA0" w:rsidP="00D37BA0">
      <w:pPr>
        <w:pStyle w:val="Corpodeltesto2"/>
      </w:pPr>
      <w:r w:rsidRPr="00D37BA0">
        <w:t>Questo evita, almeno nell’immediato, il ritorno al regime IVA ordinario per le operazioni interessate. </w:t>
      </w:r>
    </w:p>
    <w:p w14:paraId="2AAAA87B" w14:textId="77777777" w:rsidR="00D37BA0" w:rsidRPr="00D37BA0" w:rsidRDefault="00D37BA0" w:rsidP="00D37BA0">
      <w:pPr>
        <w:pStyle w:val="Corpodeltesto2"/>
      </w:pPr>
      <w:r w:rsidRPr="00D37BA0">
        <w:t>In assenza di proroga, dal 1° luglio 2026 i fornitori avrebbero dovuto tornare a incassare l’IVA dai clienti pubblici e a versarla secondo le ordinarie liquidazioni periodiche. </w:t>
      </w:r>
    </w:p>
    <w:p w14:paraId="700E50E5" w14:textId="77777777" w:rsidR="00D37BA0" w:rsidRPr="00D37BA0" w:rsidRDefault="00D37BA0" w:rsidP="00D37BA0">
      <w:pPr>
        <w:pStyle w:val="Corpodeltesto2"/>
      </w:pPr>
      <w:r w:rsidRPr="00D37BA0">
        <w:t>Con la prosecuzione della misura, invece, resta fermo il principio per cui l’imposta indicata in fattura viene versata direttamente all’Erario dal committente pubblico o dal soggetto equiparato.</w:t>
      </w:r>
    </w:p>
    <w:p w14:paraId="704255B4" w14:textId="77777777" w:rsidR="00D37BA0" w:rsidRPr="00D37BA0" w:rsidRDefault="00D37BA0" w:rsidP="00D37BA0">
      <w:pPr>
        <w:pStyle w:val="Corpodeltesto2"/>
      </w:pPr>
      <w:r w:rsidRPr="00D37BA0">
        <w:t>La disposizione disciplina il particolare regime IVA applicabile alle cessioni di beni e alle prestazioni di servizi effettuate nei confronti di determinati soggetti pubblici o riconducibili all’area pubblica.</w:t>
      </w:r>
    </w:p>
    <w:p w14:paraId="3BDEC59D" w14:textId="77777777" w:rsidR="00D37BA0" w:rsidRPr="00D37BA0" w:rsidRDefault="00D37BA0" w:rsidP="00D37BA0">
      <w:pPr>
        <w:pStyle w:val="Corpodeltesto2"/>
      </w:pPr>
      <w:r w:rsidRPr="00D37BA0">
        <w:t>Come sappiamo, il fornitore emette fattura indicando l’imponibile e l’IVA. </w:t>
      </w:r>
    </w:p>
    <w:p w14:paraId="6C4FEF2D" w14:textId="77777777" w:rsidR="00D37BA0" w:rsidRPr="00D37BA0" w:rsidRDefault="00D37BA0" w:rsidP="00D37BA0">
      <w:pPr>
        <w:pStyle w:val="Corpodeltesto2"/>
      </w:pPr>
      <w:r w:rsidRPr="00D37BA0">
        <w:t>Tuttavia, a differenza del regime ordinario, non incassa l’imposta dal cliente. Il committente paga al fornitore il solo corrispettivo al netto dell’IVA e provvede direttamente al versamento dell’imposta all’Erario. Per il cedente o prestatore, quindi, l’IVA resta esposta nel documento fiscale, ma non costituisce un importo finanziariamente incassato.</w:t>
      </w:r>
    </w:p>
    <w:p w14:paraId="519774B4" w14:textId="77777777" w:rsidR="00D37BA0" w:rsidRPr="00D37BA0" w:rsidRDefault="00D37BA0" w:rsidP="00D37BA0">
      <w:pPr>
        <w:pStyle w:val="Corpodeltesto2"/>
      </w:pPr>
      <w:r w:rsidRPr="00D37BA0">
        <w:t xml:space="preserve">Questo elemento produce effetti importanti nella gestione contabile, nelle liquidazioni periodiche e nella pianificazione della liquidità aziendale. Dal punto di vista operativo, bisogna verificare che la fattura elettronica sia correttamente compilata, che il cliente </w:t>
      </w:r>
      <w:r w:rsidRPr="00D37BA0">
        <w:lastRenderedPageBreak/>
        <w:t>rientri effettivamente tra i soggetti destinatari della disciplina e che l’IVA non venga erroneamente trattata come imposta da versare da parte del fornitore.</w:t>
      </w:r>
    </w:p>
    <w:p w14:paraId="2ADC5786" w14:textId="77777777" w:rsidR="00D37BA0" w:rsidRDefault="00D37BA0" w:rsidP="00D37BA0">
      <w:pPr>
        <w:pStyle w:val="Corpodeltesto2"/>
        <w:rPr>
          <w:u w:val="single"/>
        </w:rPr>
      </w:pPr>
    </w:p>
    <w:p w14:paraId="3A64F1D6" w14:textId="49505BBE" w:rsidR="00D37BA0" w:rsidRPr="00D37BA0" w:rsidRDefault="00D37BA0" w:rsidP="00D37BA0">
      <w:pPr>
        <w:pStyle w:val="Corpodeltesto2"/>
        <w:rPr>
          <w:u w:val="single"/>
        </w:rPr>
      </w:pPr>
      <w:r w:rsidRPr="00D37BA0">
        <w:rPr>
          <w:u w:val="single"/>
        </w:rPr>
        <w:t>Attenzione che lo split payment non si applica però indistintamente a tutti i rapporti con soggetti collegati al settore pubblico. </w:t>
      </w:r>
    </w:p>
    <w:p w14:paraId="4D9E6D6B" w14:textId="77777777" w:rsidR="00D37BA0" w:rsidRPr="00D37BA0" w:rsidRDefault="00D37BA0" w:rsidP="00D37BA0">
      <w:pPr>
        <w:pStyle w:val="Corpodeltesto2"/>
      </w:pPr>
      <w:r w:rsidRPr="00D37BA0">
        <w:t>La disciplina individua categorie specifiche, tra cui Pubbliche amministrazioni e determinati enti o società riconducibili al controllo pubblico. Per gli operatori è fondamentale consultare gli elenchi pubblicati dal Ministero dell’economia, che consentono di verificare se un soggetto rientra o meno nell’ambito applicativo della scissione dei pagamenti. La verifica non dovrebbe essere fatta una sola volta, ma aggiornata periodicamente, soprattutto in presenza di gruppi societari, partecipazioni pubbliche, modifiche organizzative o variazioni negli elenchi.</w:t>
      </w:r>
    </w:p>
    <w:p w14:paraId="0088F5A6" w14:textId="77777777" w:rsidR="00D37BA0" w:rsidRDefault="00D37BA0" w:rsidP="00205F1F">
      <w:pPr>
        <w:pStyle w:val="Corpodeltesto2"/>
      </w:pPr>
    </w:p>
    <w:sectPr w:rsidR="00D37BA0" w:rsidSect="002B4DD3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1134" w:right="1134" w:bottom="1134" w:left="1134" w:header="709" w:footer="709" w:gutter="0"/>
      <w:cols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48DF3" w14:textId="77777777" w:rsidR="00280D4E" w:rsidRDefault="00280D4E" w:rsidP="00A32F6D">
      <w:r>
        <w:separator/>
      </w:r>
    </w:p>
  </w:endnote>
  <w:endnote w:type="continuationSeparator" w:id="0">
    <w:p w14:paraId="6B351088" w14:textId="77777777" w:rsidR="00280D4E" w:rsidRDefault="00280D4E" w:rsidP="00A3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09DB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end"/>
    </w:r>
  </w:p>
  <w:p w14:paraId="2B47EDB4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B6E5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separate"/>
    </w:r>
    <w:r w:rsidR="00627F03">
      <w:rPr>
        <w:rStyle w:val="Numeropagina"/>
        <w:noProof/>
        <w:sz w:val="23"/>
        <w:szCs w:val="23"/>
      </w:rPr>
      <w:t>2</w:t>
    </w:r>
    <w:r w:rsidRPr="006E0FE1">
      <w:rPr>
        <w:rStyle w:val="Numeropagina"/>
        <w:sz w:val="23"/>
        <w:szCs w:val="23"/>
      </w:rPr>
      <w:fldChar w:fldCharType="end"/>
    </w:r>
  </w:p>
  <w:p w14:paraId="57BB564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8EA5E27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622ACF04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  <w:r w:rsidRPr="006E0FE1">
      <w:rPr>
        <w:rFonts w:ascii="Century" w:hAnsi="Century"/>
        <w:b/>
        <w:bCs/>
        <w:i/>
        <w:iCs/>
        <w:sz w:val="19"/>
        <w:szCs w:val="19"/>
      </w:rPr>
      <w:t>116    Via  Marconi    -    89044    Locri    (RC)</w:t>
    </w:r>
  </w:p>
  <w:p w14:paraId="1F54A5E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23"/>
        <w:szCs w:val="23"/>
      </w:rPr>
    </w:pPr>
    <w:r w:rsidRPr="006E0FE1">
      <w:rPr>
        <w:rFonts w:ascii="Century" w:hAnsi="Century"/>
        <w:b/>
        <w:bCs/>
        <w:i/>
        <w:iCs/>
        <w:sz w:val="19"/>
        <w:szCs w:val="19"/>
      </w:rPr>
      <w:t>Tel.    0964   21530    Fax   0964   22151    e-mail   belcastro@epizefiri.it</w:t>
    </w:r>
  </w:p>
  <w:p w14:paraId="0D6DFD91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820E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19140A16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30D3ADE8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3C374CC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i/>
        <w:sz w:val="19"/>
        <w:szCs w:val="19"/>
      </w:rPr>
    </w:pPr>
    <w:r w:rsidRPr="006E0FE1">
      <w:rPr>
        <w:rFonts w:ascii="Century" w:hAnsi="Century"/>
        <w:b/>
        <w:i/>
        <w:sz w:val="19"/>
        <w:szCs w:val="19"/>
      </w:rPr>
      <w:t xml:space="preserve">116    Via  Marconi    -    89044    Locri    (RC)      -     Tel.    0964   21530    Fax   0964   22151    </w:t>
    </w:r>
  </w:p>
  <w:p w14:paraId="3C6495F1" w14:textId="77777777" w:rsidR="006A0ADA" w:rsidRPr="006E0FE1" w:rsidRDefault="006A0ADA" w:rsidP="006A0ADA">
    <w:pPr>
      <w:pStyle w:val="Corpotesto"/>
      <w:jc w:val="center"/>
      <w:rPr>
        <w:sz w:val="19"/>
        <w:szCs w:val="19"/>
      </w:rPr>
    </w:pPr>
    <w:r w:rsidRPr="006E0FE1">
      <w:rPr>
        <w:sz w:val="19"/>
        <w:szCs w:val="19"/>
      </w:rPr>
      <w:t xml:space="preserve">e-mail </w:t>
    </w:r>
    <w:hyperlink r:id="rId1" w:history="1">
      <w:r w:rsidRPr="006E0FE1">
        <w:rPr>
          <w:rStyle w:val="Collegamentoipertestuale"/>
          <w:sz w:val="19"/>
          <w:szCs w:val="19"/>
        </w:rPr>
        <w:t>claudio.belcastro@studiobelcastro.it</w:t>
      </w:r>
    </w:hyperlink>
    <w:r w:rsidRPr="006E0FE1">
      <w:rPr>
        <w:sz w:val="19"/>
        <w:szCs w:val="19"/>
      </w:rPr>
      <w:t xml:space="preserve"> - web </w:t>
    </w:r>
    <w:hyperlink r:id="rId2" w:history="1">
      <w:r w:rsidRPr="006E0FE1">
        <w:rPr>
          <w:rStyle w:val="Collegamentoipertestuale"/>
          <w:sz w:val="19"/>
          <w:szCs w:val="19"/>
        </w:rPr>
        <w:t>www.studiobelcastro.it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5CD31" w14:textId="77777777" w:rsidR="00280D4E" w:rsidRDefault="00280D4E" w:rsidP="00A32F6D">
      <w:r>
        <w:separator/>
      </w:r>
    </w:p>
  </w:footnote>
  <w:footnote w:type="continuationSeparator" w:id="0">
    <w:p w14:paraId="66DCD346" w14:textId="77777777" w:rsidR="00280D4E" w:rsidRDefault="00280D4E" w:rsidP="00A3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47A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31"/>
        <w:szCs w:val="31"/>
      </w:rPr>
    </w:pPr>
    <w:r w:rsidRPr="006E0FE1">
      <w:rPr>
        <w:rFonts w:ascii="Century" w:hAnsi="Century"/>
        <w:b/>
        <w:bCs/>
        <w:i/>
        <w:iCs/>
        <w:sz w:val="27"/>
        <w:szCs w:val="27"/>
      </w:rPr>
      <w:t>STUDIO BELCASTRO</w:t>
    </w:r>
  </w:p>
  <w:p w14:paraId="3F173899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42"/>
        <w:szCs w:val="4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0C4"/>
    <w:multiLevelType w:val="hybridMultilevel"/>
    <w:tmpl w:val="E1CE38A4"/>
    <w:lvl w:ilvl="0" w:tplc="B8D42FAA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B79F8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6F45FD8"/>
    <w:multiLevelType w:val="multilevel"/>
    <w:tmpl w:val="56D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F7240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DF40158"/>
    <w:multiLevelType w:val="hybridMultilevel"/>
    <w:tmpl w:val="8780C934"/>
    <w:lvl w:ilvl="0" w:tplc="26CE1644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83DBC"/>
    <w:multiLevelType w:val="hybridMultilevel"/>
    <w:tmpl w:val="ECBC7386"/>
    <w:lvl w:ilvl="0" w:tplc="75F470E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660AD"/>
    <w:multiLevelType w:val="multilevel"/>
    <w:tmpl w:val="45C2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C44B14"/>
    <w:multiLevelType w:val="multilevel"/>
    <w:tmpl w:val="F29E3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C873A9"/>
    <w:multiLevelType w:val="hybridMultilevel"/>
    <w:tmpl w:val="E7204F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515D2"/>
    <w:multiLevelType w:val="hybridMultilevel"/>
    <w:tmpl w:val="9D2E8788"/>
    <w:lvl w:ilvl="0" w:tplc="8FDA261E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82F8F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5CE105D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E0E19F9"/>
    <w:multiLevelType w:val="hybridMultilevel"/>
    <w:tmpl w:val="34A89F64"/>
    <w:lvl w:ilvl="0" w:tplc="83421DE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5B35E68"/>
    <w:multiLevelType w:val="hybridMultilevel"/>
    <w:tmpl w:val="507AD78A"/>
    <w:lvl w:ilvl="0" w:tplc="C986CF4C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D3131"/>
    <w:multiLevelType w:val="hybridMultilevel"/>
    <w:tmpl w:val="2D6ABF36"/>
    <w:lvl w:ilvl="0" w:tplc="B4CED25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64749"/>
    <w:multiLevelType w:val="hybridMultilevel"/>
    <w:tmpl w:val="E6B0B2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A1290"/>
    <w:multiLevelType w:val="hybridMultilevel"/>
    <w:tmpl w:val="7FD46B5C"/>
    <w:lvl w:ilvl="0" w:tplc="9C92F9EC">
      <w:start w:val="3"/>
      <w:numFmt w:val="bullet"/>
      <w:lvlText w:val="-"/>
      <w:lvlJc w:val="left"/>
      <w:pPr>
        <w:ind w:left="420" w:hanging="360"/>
      </w:pPr>
      <w:rPr>
        <w:rFonts w:ascii="Century" w:eastAsia="Times New Roman" w:hAnsi="Century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3B77922"/>
    <w:multiLevelType w:val="hybridMultilevel"/>
    <w:tmpl w:val="D034E4CC"/>
    <w:lvl w:ilvl="0" w:tplc="9850C136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908EC"/>
    <w:multiLevelType w:val="hybridMultilevel"/>
    <w:tmpl w:val="0908F21E"/>
    <w:lvl w:ilvl="0" w:tplc="75FA7884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A4677"/>
    <w:multiLevelType w:val="hybridMultilevel"/>
    <w:tmpl w:val="5C3CFBF6"/>
    <w:lvl w:ilvl="0" w:tplc="093E04EE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A54443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18651B6"/>
    <w:multiLevelType w:val="multilevel"/>
    <w:tmpl w:val="EF66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36175F6"/>
    <w:multiLevelType w:val="multilevel"/>
    <w:tmpl w:val="3E7A35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5784267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60D21B60"/>
    <w:multiLevelType w:val="hybridMultilevel"/>
    <w:tmpl w:val="81AE8CAE"/>
    <w:lvl w:ilvl="0" w:tplc="F29E3700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5610E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07762D8"/>
    <w:multiLevelType w:val="hybridMultilevel"/>
    <w:tmpl w:val="A73E8B44"/>
    <w:lvl w:ilvl="0" w:tplc="D90E727E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2C69B3"/>
    <w:multiLevelType w:val="multilevel"/>
    <w:tmpl w:val="954AC56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799A4D3B"/>
    <w:multiLevelType w:val="hybridMultilevel"/>
    <w:tmpl w:val="1AC69A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F83C5E"/>
    <w:multiLevelType w:val="hybridMultilevel"/>
    <w:tmpl w:val="C07E2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667244">
    <w:abstractNumId w:val="12"/>
  </w:num>
  <w:num w:numId="2" w16cid:durableId="662272964">
    <w:abstractNumId w:val="22"/>
  </w:num>
  <w:num w:numId="3" w16cid:durableId="353776043">
    <w:abstractNumId w:val="27"/>
  </w:num>
  <w:num w:numId="4" w16cid:durableId="1616669055">
    <w:abstractNumId w:val="10"/>
  </w:num>
  <w:num w:numId="5" w16cid:durableId="1844130009">
    <w:abstractNumId w:val="8"/>
  </w:num>
  <w:num w:numId="6" w16cid:durableId="2116631285">
    <w:abstractNumId w:val="18"/>
  </w:num>
  <w:num w:numId="7" w16cid:durableId="1462921736">
    <w:abstractNumId w:val="28"/>
  </w:num>
  <w:num w:numId="8" w16cid:durableId="95254443">
    <w:abstractNumId w:val="15"/>
  </w:num>
  <w:num w:numId="9" w16cid:durableId="272784366">
    <w:abstractNumId w:val="20"/>
  </w:num>
  <w:num w:numId="10" w16cid:durableId="551423960">
    <w:abstractNumId w:val="11"/>
  </w:num>
  <w:num w:numId="11" w16cid:durableId="1853564208">
    <w:abstractNumId w:val="1"/>
  </w:num>
  <w:num w:numId="12" w16cid:durableId="800532907">
    <w:abstractNumId w:val="3"/>
  </w:num>
  <w:num w:numId="13" w16cid:durableId="463816025">
    <w:abstractNumId w:val="23"/>
  </w:num>
  <w:num w:numId="14" w16cid:durableId="2102797573">
    <w:abstractNumId w:val="25"/>
  </w:num>
  <w:num w:numId="15" w16cid:durableId="1331981394">
    <w:abstractNumId w:val="29"/>
  </w:num>
  <w:num w:numId="16" w16cid:durableId="261425994">
    <w:abstractNumId w:val="5"/>
  </w:num>
  <w:num w:numId="17" w16cid:durableId="687219582">
    <w:abstractNumId w:val="14"/>
  </w:num>
  <w:num w:numId="18" w16cid:durableId="425343916">
    <w:abstractNumId w:val="24"/>
  </w:num>
  <w:num w:numId="19" w16cid:durableId="521167879">
    <w:abstractNumId w:val="2"/>
  </w:num>
  <w:num w:numId="20" w16cid:durableId="73018300">
    <w:abstractNumId w:val="19"/>
  </w:num>
  <w:num w:numId="21" w16cid:durableId="1147672760">
    <w:abstractNumId w:val="21"/>
  </w:num>
  <w:num w:numId="22" w16cid:durableId="616722941">
    <w:abstractNumId w:val="6"/>
  </w:num>
  <w:num w:numId="23" w16cid:durableId="1197768387">
    <w:abstractNumId w:val="13"/>
  </w:num>
  <w:num w:numId="24" w16cid:durableId="329332146">
    <w:abstractNumId w:val="7"/>
  </w:num>
  <w:num w:numId="25" w16cid:durableId="833956791">
    <w:abstractNumId w:val="16"/>
  </w:num>
  <w:num w:numId="26" w16cid:durableId="862135947">
    <w:abstractNumId w:val="0"/>
  </w:num>
  <w:num w:numId="27" w16cid:durableId="979113401">
    <w:abstractNumId w:val="4"/>
  </w:num>
  <w:num w:numId="28" w16cid:durableId="1117525001">
    <w:abstractNumId w:val="17"/>
  </w:num>
  <w:num w:numId="29" w16cid:durableId="1421295469">
    <w:abstractNumId w:val="26"/>
  </w:num>
  <w:num w:numId="30" w16cid:durableId="18358784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FE1"/>
    <w:rsid w:val="000041B0"/>
    <w:rsid w:val="000A2660"/>
    <w:rsid w:val="00205F1F"/>
    <w:rsid w:val="00265818"/>
    <w:rsid w:val="00280D4E"/>
    <w:rsid w:val="002B2E80"/>
    <w:rsid w:val="002B4DD3"/>
    <w:rsid w:val="003363A3"/>
    <w:rsid w:val="003556F9"/>
    <w:rsid w:val="0037360F"/>
    <w:rsid w:val="00394758"/>
    <w:rsid w:val="003A6EA7"/>
    <w:rsid w:val="003D6BED"/>
    <w:rsid w:val="00462257"/>
    <w:rsid w:val="00503BB1"/>
    <w:rsid w:val="00534569"/>
    <w:rsid w:val="0054469D"/>
    <w:rsid w:val="005D1430"/>
    <w:rsid w:val="00627F03"/>
    <w:rsid w:val="00637D2C"/>
    <w:rsid w:val="00695650"/>
    <w:rsid w:val="006A0ADA"/>
    <w:rsid w:val="006A41A2"/>
    <w:rsid w:val="006E0FE1"/>
    <w:rsid w:val="006F7B3E"/>
    <w:rsid w:val="00710C35"/>
    <w:rsid w:val="00710D33"/>
    <w:rsid w:val="007279FD"/>
    <w:rsid w:val="00746C16"/>
    <w:rsid w:val="007605B6"/>
    <w:rsid w:val="007760E9"/>
    <w:rsid w:val="0084412C"/>
    <w:rsid w:val="00864620"/>
    <w:rsid w:val="008744E7"/>
    <w:rsid w:val="008E38AF"/>
    <w:rsid w:val="00913301"/>
    <w:rsid w:val="00945FE0"/>
    <w:rsid w:val="009716B3"/>
    <w:rsid w:val="009C4667"/>
    <w:rsid w:val="00A250B0"/>
    <w:rsid w:val="00A32F6D"/>
    <w:rsid w:val="00A7742F"/>
    <w:rsid w:val="00AC6259"/>
    <w:rsid w:val="00B47718"/>
    <w:rsid w:val="00B827D3"/>
    <w:rsid w:val="00B93C06"/>
    <w:rsid w:val="00BA3538"/>
    <w:rsid w:val="00BB12F6"/>
    <w:rsid w:val="00C46AF2"/>
    <w:rsid w:val="00CB1497"/>
    <w:rsid w:val="00CC35B9"/>
    <w:rsid w:val="00D37BA0"/>
    <w:rsid w:val="00D620A4"/>
    <w:rsid w:val="00D81B8C"/>
    <w:rsid w:val="00DF5BE5"/>
    <w:rsid w:val="00DF6D65"/>
    <w:rsid w:val="00E2323C"/>
    <w:rsid w:val="00E803BA"/>
    <w:rsid w:val="00EE27B3"/>
    <w:rsid w:val="00F24E1A"/>
    <w:rsid w:val="00F84834"/>
    <w:rsid w:val="00FB0ADB"/>
    <w:rsid w:val="00FD4C19"/>
    <w:rsid w:val="00FE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C67A"/>
  <w15:docId w15:val="{98EBD263-6EC8-4EA1-A020-DFFDE69C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E0FE1"/>
    <w:pPr>
      <w:keepNext/>
      <w:outlineLvl w:val="1"/>
    </w:pPr>
    <w:rPr>
      <w:rFonts w:ascii="Century" w:hAnsi="Century"/>
      <w:b/>
      <w:bCs/>
      <w:i/>
      <w:iCs/>
      <w:sz w:val="36"/>
    </w:rPr>
  </w:style>
  <w:style w:type="paragraph" w:styleId="Titolo3">
    <w:name w:val="heading 3"/>
    <w:basedOn w:val="Normale"/>
    <w:next w:val="Normale"/>
    <w:link w:val="Titolo3Carattere"/>
    <w:qFormat/>
    <w:rsid w:val="006E0FE1"/>
    <w:pPr>
      <w:keepNext/>
      <w:outlineLvl w:val="2"/>
    </w:pPr>
    <w:rPr>
      <w:rFonts w:ascii="Century" w:hAnsi="Century"/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6E0FE1"/>
    <w:pPr>
      <w:keepNext/>
      <w:outlineLvl w:val="3"/>
    </w:pPr>
    <w:rPr>
      <w:rFonts w:ascii="Century" w:hAnsi="Century"/>
      <w:b/>
      <w:bCs/>
      <w:i/>
      <w:iCs/>
      <w:sz w:val="20"/>
    </w:rPr>
  </w:style>
  <w:style w:type="paragraph" w:styleId="Titolo5">
    <w:name w:val="heading 5"/>
    <w:basedOn w:val="Normale"/>
    <w:next w:val="Normale"/>
    <w:link w:val="Titolo5Carattere"/>
    <w:qFormat/>
    <w:rsid w:val="006E0FE1"/>
    <w:pPr>
      <w:keepNext/>
      <w:outlineLvl w:val="4"/>
    </w:pPr>
    <w:rPr>
      <w:rFonts w:ascii="Century" w:hAnsi="Century"/>
      <w:b/>
      <w:bCs/>
      <w:i/>
      <w:iCs/>
      <w:sz w:val="18"/>
    </w:rPr>
  </w:style>
  <w:style w:type="paragraph" w:styleId="Titolo7">
    <w:name w:val="heading 7"/>
    <w:basedOn w:val="Normale"/>
    <w:next w:val="Normale"/>
    <w:link w:val="Titolo7Carattere"/>
    <w:qFormat/>
    <w:rsid w:val="006E0FE1"/>
    <w:pPr>
      <w:keepNext/>
      <w:jc w:val="both"/>
      <w:outlineLvl w:val="6"/>
    </w:pPr>
    <w:rPr>
      <w:rFonts w:ascii="Century" w:hAnsi="Century"/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E0FE1"/>
    <w:rPr>
      <w:rFonts w:ascii="Century" w:eastAsia="Times New Roman" w:hAnsi="Century" w:cs="Times New Roman"/>
      <w:b/>
      <w:bCs/>
      <w:i/>
      <w:iCs/>
      <w:sz w:val="36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E0FE1"/>
    <w:rPr>
      <w:rFonts w:ascii="Century" w:eastAsia="Times New Roman" w:hAnsi="Century" w:cs="Times New Roman"/>
      <w:b/>
      <w:bCs/>
      <w:i/>
      <w:iCs/>
      <w:sz w:val="18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6E0FE1"/>
    <w:rPr>
      <w:rFonts w:ascii="Century" w:hAnsi="Century"/>
      <w:b/>
      <w:bCs/>
      <w:i/>
      <w:iCs/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styleId="Collegamentoipertestuale">
    <w:name w:val="Hyperlink"/>
    <w:basedOn w:val="Carpredefinitoparagrafo"/>
    <w:rsid w:val="006E0FE1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6E0F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E0FE1"/>
  </w:style>
  <w:style w:type="paragraph" w:styleId="Intestazione">
    <w:name w:val="header"/>
    <w:basedOn w:val="Normale"/>
    <w:link w:val="IntestazioneCarattere"/>
    <w:rsid w:val="006E0F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6E0FE1"/>
    <w:pPr>
      <w:jc w:val="both"/>
    </w:pPr>
    <w:rPr>
      <w:rFonts w:ascii="Century" w:hAnsi="Century"/>
      <w:b/>
      <w:bCs/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0F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0FE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A41A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6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iobelcastro.it" TargetMode="External"/><Relationship Id="rId1" Type="http://schemas.openxmlformats.org/officeDocument/2006/relationships/hyperlink" Target="mailto:claudio.belcastro@studiobelcast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Nodo5</cp:lastModifiedBy>
  <cp:revision>35</cp:revision>
  <cp:lastPrinted>2018-01-16T09:21:00Z</cp:lastPrinted>
  <dcterms:created xsi:type="dcterms:W3CDTF">2017-01-17T14:20:00Z</dcterms:created>
  <dcterms:modified xsi:type="dcterms:W3CDTF">2026-09-23T15:40:00Z</dcterms:modified>
</cp:coreProperties>
</file>