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142A" w14:textId="2352B119" w:rsidR="006E0FE1" w:rsidRPr="006E0FE1" w:rsidRDefault="006E0FE1" w:rsidP="002B4DD3">
      <w:pPr>
        <w:pStyle w:val="Titolo2"/>
        <w:jc w:val="center"/>
        <w:rPr>
          <w:b w:val="0"/>
          <w:bCs w:val="0"/>
          <w:i w:val="0"/>
          <w:iCs w:val="0"/>
          <w:sz w:val="23"/>
          <w:szCs w:val="23"/>
        </w:rPr>
      </w:pPr>
      <w:r w:rsidRPr="006E0FE1">
        <w:rPr>
          <w:sz w:val="42"/>
          <w:szCs w:val="42"/>
        </w:rPr>
        <w:t>STUDIO</w:t>
      </w:r>
      <w:r w:rsidRPr="006E0FE1">
        <w:rPr>
          <w:sz w:val="46"/>
          <w:szCs w:val="46"/>
        </w:rPr>
        <w:t xml:space="preserve">   </w:t>
      </w:r>
      <w:r w:rsidRPr="006E0FE1">
        <w:rPr>
          <w:sz w:val="42"/>
          <w:szCs w:val="42"/>
        </w:rPr>
        <w:t>BELCASTRO</w:t>
      </w:r>
    </w:p>
    <w:p w14:paraId="71037DB3" w14:textId="77777777" w:rsidR="006E0FE1" w:rsidRPr="006E0FE1" w:rsidRDefault="006E0FE1" w:rsidP="006E0FE1">
      <w:pPr>
        <w:pStyle w:val="Titolo3"/>
        <w:rPr>
          <w:sz w:val="23"/>
          <w:szCs w:val="23"/>
        </w:rPr>
      </w:pPr>
      <w:r w:rsidRPr="006E0FE1">
        <w:rPr>
          <w:sz w:val="23"/>
          <w:szCs w:val="23"/>
        </w:rPr>
        <w:t>Dott. Claudio Belcastro</w:t>
      </w:r>
    </w:p>
    <w:p w14:paraId="2DFA325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Sergio Policheni</w:t>
      </w:r>
    </w:p>
    <w:p w14:paraId="726A064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Antonio Albanese</w:t>
      </w:r>
    </w:p>
    <w:p w14:paraId="687EAC8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Emanuela Candido</w:t>
      </w:r>
    </w:p>
    <w:p w14:paraId="5EAC900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Maria Teresa Cimarosa</w:t>
      </w:r>
    </w:p>
    <w:p w14:paraId="1D1E3B1B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Saverio Leotta</w:t>
      </w:r>
    </w:p>
    <w:p w14:paraId="2BCE3721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Cristina Pelle</w:t>
      </w:r>
    </w:p>
    <w:p w14:paraId="2125A8EF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Caterina Piccolo</w:t>
      </w:r>
    </w:p>
    <w:p w14:paraId="3CCE984A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Santina Sansotta</w:t>
      </w:r>
    </w:p>
    <w:p w14:paraId="5CB522F3" w14:textId="77777777" w:rsidR="006E0FE1" w:rsidRPr="006E0FE1" w:rsidRDefault="006E0FE1" w:rsidP="006E0FE1">
      <w:pPr>
        <w:pStyle w:val="Titolo4"/>
        <w:rPr>
          <w:sz w:val="19"/>
          <w:szCs w:val="19"/>
        </w:rPr>
      </w:pPr>
    </w:p>
    <w:p w14:paraId="2C0ABCD7" w14:textId="77777777" w:rsidR="006E0FE1" w:rsidRPr="006E0FE1" w:rsidRDefault="006E0FE1" w:rsidP="006E0FE1">
      <w:pPr>
        <w:pStyle w:val="Titolo5"/>
        <w:rPr>
          <w:sz w:val="23"/>
          <w:szCs w:val="23"/>
        </w:rPr>
      </w:pPr>
      <w:r w:rsidRPr="006E0FE1">
        <w:rPr>
          <w:sz w:val="23"/>
          <w:szCs w:val="23"/>
        </w:rPr>
        <w:t xml:space="preserve">Dott. Claudio Belcastro                                                         </w:t>
      </w:r>
    </w:p>
    <w:p w14:paraId="32FB418C" w14:textId="77777777" w:rsidR="006E0FE1" w:rsidRPr="006E0FE1" w:rsidRDefault="006E0FE1" w:rsidP="006E0FE1">
      <w:pPr>
        <w:pStyle w:val="Titolo5"/>
        <w:rPr>
          <w:sz w:val="15"/>
          <w:szCs w:val="15"/>
        </w:rPr>
      </w:pPr>
      <w:r w:rsidRPr="006E0FE1">
        <w:rPr>
          <w:sz w:val="15"/>
          <w:szCs w:val="15"/>
        </w:rPr>
        <w:t>Dottore Commercialista – Revisore Contabile</w:t>
      </w:r>
    </w:p>
    <w:p w14:paraId="6C0E6F99" w14:textId="77777777" w:rsidR="006E0FE1" w:rsidRPr="006E0FE1" w:rsidRDefault="006E0FE1" w:rsidP="006E0FE1">
      <w:pPr>
        <w:pStyle w:val="Titolo5"/>
        <w:rPr>
          <w:bCs w:val="0"/>
          <w:iCs w:val="0"/>
          <w:sz w:val="15"/>
          <w:szCs w:val="15"/>
        </w:rPr>
      </w:pPr>
      <w:r w:rsidRPr="006A0ADA">
        <w:rPr>
          <w:bCs w:val="0"/>
          <w:iCs w:val="0"/>
          <w:sz w:val="15"/>
          <w:szCs w:val="15"/>
        </w:rPr>
        <w:t>c.f. BLC CLD 55S14 D976</w:t>
      </w:r>
      <w:proofErr w:type="gramStart"/>
      <w:r w:rsidRPr="006A0ADA">
        <w:rPr>
          <w:bCs w:val="0"/>
          <w:iCs w:val="0"/>
          <w:sz w:val="15"/>
          <w:szCs w:val="15"/>
        </w:rPr>
        <w:t>H  -</w:t>
      </w:r>
      <w:proofErr w:type="gramEnd"/>
      <w:r w:rsidRPr="006A0ADA">
        <w:rPr>
          <w:bCs w:val="0"/>
          <w:iCs w:val="0"/>
          <w:sz w:val="15"/>
          <w:szCs w:val="15"/>
        </w:rPr>
        <w:t xml:space="preserve">  p.i.  </w:t>
      </w:r>
      <w:r w:rsidRPr="006E0FE1">
        <w:rPr>
          <w:bCs w:val="0"/>
          <w:iCs w:val="0"/>
          <w:sz w:val="15"/>
          <w:szCs w:val="15"/>
        </w:rPr>
        <w:t>00721660801</w:t>
      </w:r>
    </w:p>
    <w:p w14:paraId="5A073701" w14:textId="77777777" w:rsidR="006E0FE1" w:rsidRDefault="006E0FE1" w:rsidP="006E0FE1">
      <w:pPr>
        <w:rPr>
          <w:rFonts w:ascii="Century" w:hAnsi="Century"/>
          <w:b/>
          <w:bCs/>
          <w:i/>
          <w:iCs/>
        </w:rPr>
      </w:pPr>
    </w:p>
    <w:p w14:paraId="0865AB23" w14:textId="77777777" w:rsidR="00913301" w:rsidRDefault="00913301" w:rsidP="006E0FE1">
      <w:pPr>
        <w:rPr>
          <w:rFonts w:ascii="Century" w:hAnsi="Century"/>
          <w:b/>
          <w:bCs/>
          <w:i/>
          <w:iCs/>
        </w:rPr>
      </w:pPr>
    </w:p>
    <w:p w14:paraId="521F580D" w14:textId="1CA04CC4" w:rsidR="00EE27B3" w:rsidRPr="00EE27B3" w:rsidRDefault="00913301" w:rsidP="00EE27B3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 xml:space="preserve">Circolare Informativa </w:t>
      </w:r>
      <w:r w:rsidR="006A41A2">
        <w:rPr>
          <w:rFonts w:ascii="Century" w:hAnsi="Century"/>
          <w:b/>
          <w:bCs/>
          <w:i/>
          <w:iCs/>
        </w:rPr>
        <w:t>n. 0</w:t>
      </w:r>
      <w:r w:rsidR="008744E7">
        <w:rPr>
          <w:rFonts w:ascii="Century" w:hAnsi="Century"/>
          <w:b/>
          <w:bCs/>
          <w:i/>
          <w:iCs/>
        </w:rPr>
        <w:t>7</w:t>
      </w:r>
      <w:r w:rsidR="006A41A2">
        <w:rPr>
          <w:rFonts w:ascii="Century" w:hAnsi="Century"/>
          <w:b/>
          <w:bCs/>
          <w:i/>
          <w:iCs/>
        </w:rPr>
        <w:t xml:space="preserve"> </w:t>
      </w:r>
      <w:r>
        <w:rPr>
          <w:rFonts w:ascii="Century" w:hAnsi="Century"/>
          <w:b/>
          <w:bCs/>
          <w:i/>
          <w:iCs/>
        </w:rPr>
        <w:t xml:space="preserve">del </w:t>
      </w:r>
      <w:r w:rsidR="00D620A4">
        <w:rPr>
          <w:rFonts w:ascii="Century" w:hAnsi="Century"/>
          <w:b/>
          <w:bCs/>
          <w:i/>
          <w:iCs/>
        </w:rPr>
        <w:t>2</w:t>
      </w:r>
      <w:r w:rsidR="008744E7">
        <w:rPr>
          <w:rFonts w:ascii="Century" w:hAnsi="Century"/>
          <w:b/>
          <w:bCs/>
          <w:i/>
          <w:iCs/>
        </w:rPr>
        <w:t>3.04.2026</w:t>
      </w:r>
    </w:p>
    <w:p w14:paraId="6800EA9A" w14:textId="77777777" w:rsidR="00EE27B3" w:rsidRDefault="00EE27B3" w:rsidP="00695650">
      <w:pPr>
        <w:rPr>
          <w:rFonts w:ascii="Century" w:hAnsi="Century"/>
          <w:b/>
          <w:bCs/>
          <w:i/>
          <w:iCs/>
        </w:rPr>
      </w:pPr>
    </w:p>
    <w:p w14:paraId="79DC2EB0" w14:textId="46A5F6FC" w:rsidR="00695650" w:rsidRDefault="006A41A2" w:rsidP="00695650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>Indice Argomenti</w:t>
      </w:r>
      <w:r w:rsidR="006E0FE1" w:rsidRPr="002B4DD3">
        <w:rPr>
          <w:rFonts w:ascii="Century" w:hAnsi="Century"/>
          <w:b/>
          <w:bCs/>
          <w:i/>
          <w:iCs/>
        </w:rPr>
        <w:t xml:space="preserve">: </w:t>
      </w:r>
    </w:p>
    <w:p w14:paraId="68C24213" w14:textId="06AE68AE" w:rsidR="00D620A4" w:rsidRDefault="008744E7" w:rsidP="008744E7">
      <w:pPr>
        <w:pStyle w:val="Corpodeltesto2"/>
        <w:numPr>
          <w:ilvl w:val="0"/>
          <w:numId w:val="26"/>
        </w:numPr>
        <w:rPr>
          <w:u w:val="single"/>
        </w:rPr>
      </w:pPr>
      <w:r w:rsidRPr="008744E7">
        <w:rPr>
          <w:u w:val="single"/>
        </w:rPr>
        <w:t>Le sanzioni al Commercialista per concorso con il Cliente</w:t>
      </w:r>
    </w:p>
    <w:p w14:paraId="68725C18" w14:textId="77777777" w:rsidR="008744E7" w:rsidRDefault="008744E7" w:rsidP="008744E7">
      <w:pPr>
        <w:pStyle w:val="Corpodeltesto2"/>
        <w:rPr>
          <w:u w:val="single"/>
        </w:rPr>
      </w:pPr>
    </w:p>
    <w:p w14:paraId="521266FA" w14:textId="77777777" w:rsidR="008744E7" w:rsidRPr="008744E7" w:rsidRDefault="008744E7" w:rsidP="008744E7">
      <w:pPr>
        <w:pStyle w:val="Corpodeltesto2"/>
      </w:pPr>
      <w:r w:rsidRPr="008744E7">
        <w:t>Il 15.04.2026 il Ministero dell’Economia ha reso la risposta all’interrogazione parlamentare n. 5-05272, tornando sulla responsabilità a titolo di concorso del commercialista nelle violazioni tributarie dei Clienti assistiti. </w:t>
      </w:r>
      <w:r w:rsidRPr="008744E7">
        <w:br/>
      </w:r>
      <w:r w:rsidRPr="008744E7">
        <w:br/>
        <w:t xml:space="preserve">L’occasione è offerta dalle ordinanze gemelle della Cassazione 12.03.2026, </w:t>
      </w:r>
      <w:proofErr w:type="spellStart"/>
      <w:r w:rsidRPr="008744E7">
        <w:t>nn</w:t>
      </w:r>
      <w:proofErr w:type="spellEnd"/>
      <w:r w:rsidRPr="008744E7">
        <w:t xml:space="preserve">. 5638 e 5639, che hanno consolidato il mutamento di orientamento avviato nel 2024 in materia di applicabilità dell’art. 9 </w:t>
      </w:r>
      <w:proofErr w:type="spellStart"/>
      <w:r w:rsidRPr="008744E7">
        <w:t>D.Lgs.</w:t>
      </w:r>
      <w:proofErr w:type="spellEnd"/>
      <w:r w:rsidRPr="008744E7">
        <w:t xml:space="preserve"> 472/1997 al professionista esterno.</w:t>
      </w:r>
    </w:p>
    <w:p w14:paraId="270577FD" w14:textId="77777777" w:rsidR="008744E7" w:rsidRPr="008744E7" w:rsidRDefault="008744E7" w:rsidP="008744E7">
      <w:pPr>
        <w:pStyle w:val="Corpodeltesto2"/>
      </w:pPr>
    </w:p>
    <w:p w14:paraId="17D8DF5B" w14:textId="77777777" w:rsidR="008744E7" w:rsidRPr="008744E7" w:rsidRDefault="008744E7" w:rsidP="008744E7">
      <w:pPr>
        <w:pStyle w:val="Corpodeltesto2"/>
      </w:pPr>
      <w:r w:rsidRPr="008744E7">
        <w:t>Com’è noto queste pronunce hanno stabilito che il concorso è configurabile quando il commercialista, pur senza integrare la condotta tipica dell’illecito penale, compie azioni od omissioni che rendono possibile o agevolano la consumazione della violazione da parte del Cliente, e ciò anche nell’ipotesi in cui l’intermediario dovesse limitarsi alla trasmissione telematica di una dichiarazione non materialmente redatta, purché rivesta la posizione di consulente tributario e sia incaricato o meno della tenuta delle scritture contabili.</w:t>
      </w:r>
    </w:p>
    <w:p w14:paraId="75FD739B" w14:textId="77777777" w:rsidR="008744E7" w:rsidRPr="008744E7" w:rsidRDefault="008744E7" w:rsidP="008744E7">
      <w:pPr>
        <w:pStyle w:val="Corpodeltesto2"/>
      </w:pPr>
      <w:r w:rsidRPr="008744E7">
        <w:t>Il parametro valutativo individuato dalla Suprema Corte è la diligenza qualificata (ex art. 1176, c. 2 c.c.), che impone al professionista di verificare la coerenza tra le dichiarazioni trasmesse e le risultanze contabili, nonché la loro conformità alle norme di legge. </w:t>
      </w:r>
      <w:r w:rsidRPr="008744E7">
        <w:br/>
      </w:r>
      <w:r w:rsidRPr="008744E7">
        <w:br/>
        <w:t>Due punti appaiono ormai consolidati sul piano interpretativo:</w:t>
      </w:r>
    </w:p>
    <w:p w14:paraId="17490170" w14:textId="77777777" w:rsidR="008744E7" w:rsidRPr="008744E7" w:rsidRDefault="008744E7" w:rsidP="008744E7">
      <w:pPr>
        <w:pStyle w:val="Corpodeltesto2"/>
      </w:pPr>
      <w:r w:rsidRPr="008744E7">
        <w:t>- da un lato, è definitivamente superata la tesi che escludeva il concorso di terzi negli illeciti delle società di capitali in forza dell’art. 7 D.L. 269/2003;</w:t>
      </w:r>
    </w:p>
    <w:p w14:paraId="66C8F08A" w14:textId="77777777" w:rsidR="008744E7" w:rsidRPr="008744E7" w:rsidRDefault="008744E7" w:rsidP="008744E7">
      <w:pPr>
        <w:pStyle w:val="Corpodeltesto2"/>
      </w:pPr>
      <w:r w:rsidRPr="008744E7">
        <w:t xml:space="preserve">- dall’altro, è abbandonato il requisito del c.d. quid </w:t>
      </w:r>
      <w:proofErr w:type="spellStart"/>
      <w:r w:rsidRPr="008744E7">
        <w:t>pluris</w:t>
      </w:r>
      <w:proofErr w:type="spellEnd"/>
      <w:r w:rsidRPr="008744E7">
        <w:t>, ovvero la necessità di un vantaggio economico autonomo del professionista, ulteriore rispetto al compenso ordinario.</w:t>
      </w:r>
    </w:p>
    <w:p w14:paraId="45C0C994" w14:textId="77777777" w:rsidR="008744E7" w:rsidRPr="008744E7" w:rsidRDefault="008744E7" w:rsidP="008744E7">
      <w:pPr>
        <w:pStyle w:val="Corpodeltesto2"/>
      </w:pPr>
      <w:r w:rsidRPr="008744E7">
        <w:br/>
        <w:t xml:space="preserve">Consideriamo quindi l’ipotesi del consulente che, tenendo o meno la contabilità del cliente, consente la deduzione di costi palesemente indeducibili pur avendo espresso formalmente il proprio dissenso: in questo caso la mancata astensione dalla </w:t>
      </w:r>
      <w:r w:rsidRPr="008744E7">
        <w:lastRenderedPageBreak/>
        <w:t>trasmissione è tale da configurare un contributo concorsuale? E fino a che punto il professionista è tenuto a rifiutare l’incarico quando il cliente insiste nell’adottare scelte fiscali vietate ma non penalmente rilevanti? </w:t>
      </w:r>
      <w:r w:rsidRPr="008744E7">
        <w:br/>
      </w:r>
      <w:r w:rsidRPr="008744E7">
        <w:br/>
        <w:t>Si tratta di quesiti cruciali per la prassi professionale quotidiana, rispetto ai quali né la giurisprudenza né il MEF hanno (almeno fino a oggi) saputo fornire risposte esaustive.</w:t>
      </w:r>
    </w:p>
    <w:p w14:paraId="10021EBE" w14:textId="77777777" w:rsidR="008744E7" w:rsidRPr="008744E7" w:rsidRDefault="008744E7" w:rsidP="008744E7">
      <w:pPr>
        <w:pStyle w:val="Corpodeltesto2"/>
        <w:rPr>
          <w:u w:val="single"/>
        </w:rPr>
      </w:pPr>
      <w:r w:rsidRPr="008744E7">
        <w:t>Tuttavia, il nuovo indirizzo della giurisprudenza di Cassazione impone ai professionisti l'obbligo di adottare una maggiore prudenza difensiva con evidenti ricadute sulla qualità dell’assistenza fiscale prestata ai clienti.</w:t>
      </w:r>
      <w:r w:rsidRPr="008744E7">
        <w:br/>
      </w:r>
      <w:r w:rsidRPr="008744E7">
        <w:br/>
      </w:r>
      <w:r w:rsidRPr="008744E7">
        <w:rPr>
          <w:u w:val="single"/>
        </w:rPr>
        <w:t>Sono quindi certo che tutti i Clienti potranno comunque apprezzare, anche nel loro stesso interesse, una nostra maggiore rigidità dei controlli già da sempre adottati dal nostro Studio, senza volerci quindi considerare come eccessivamente pedanti.</w:t>
      </w:r>
    </w:p>
    <w:p w14:paraId="40AD6DAA" w14:textId="77777777" w:rsidR="008744E7" w:rsidRPr="008744E7" w:rsidRDefault="008744E7" w:rsidP="008744E7">
      <w:pPr>
        <w:pStyle w:val="Corpodeltesto2"/>
        <w:rPr>
          <w:u w:val="single"/>
        </w:rPr>
      </w:pPr>
    </w:p>
    <w:sectPr w:rsidR="008744E7" w:rsidRPr="008744E7" w:rsidSect="002B4DD3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D944" w14:textId="77777777" w:rsidR="003D6BED" w:rsidRDefault="003D6BED" w:rsidP="00A32F6D">
      <w:r>
        <w:separator/>
      </w:r>
    </w:p>
  </w:endnote>
  <w:endnote w:type="continuationSeparator" w:id="0">
    <w:p w14:paraId="5557EE8B" w14:textId="77777777" w:rsidR="003D6BED" w:rsidRDefault="003D6BED" w:rsidP="00A3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09DB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end"/>
    </w:r>
  </w:p>
  <w:p w14:paraId="2B47EDB4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B6E5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separate"/>
    </w:r>
    <w:r w:rsidR="00627F03">
      <w:rPr>
        <w:rStyle w:val="Numeropagina"/>
        <w:noProof/>
        <w:sz w:val="23"/>
        <w:szCs w:val="23"/>
      </w:rPr>
      <w:t>2</w:t>
    </w:r>
    <w:r w:rsidRPr="006E0FE1">
      <w:rPr>
        <w:rStyle w:val="Numeropagina"/>
        <w:sz w:val="23"/>
        <w:szCs w:val="23"/>
      </w:rPr>
      <w:fldChar w:fldCharType="end"/>
    </w:r>
  </w:p>
  <w:p w14:paraId="57BB564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8EA5E27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622ACF04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  <w:r w:rsidRPr="006E0FE1">
      <w:rPr>
        <w:rFonts w:ascii="Century" w:hAnsi="Century"/>
        <w:b/>
        <w:bCs/>
        <w:i/>
        <w:iCs/>
        <w:sz w:val="19"/>
        <w:szCs w:val="19"/>
      </w:rPr>
      <w:t xml:space="preserve">116    </w:t>
    </w:r>
    <w:proofErr w:type="gramStart"/>
    <w:r w:rsidRPr="006E0FE1">
      <w:rPr>
        <w:rFonts w:ascii="Century" w:hAnsi="Century"/>
        <w:b/>
        <w:bCs/>
        <w:i/>
        <w:iCs/>
        <w:sz w:val="19"/>
        <w:szCs w:val="19"/>
      </w:rPr>
      <w:t>Via  Marconi</w:t>
    </w:r>
    <w:proofErr w:type="gramEnd"/>
    <w:r w:rsidRPr="006E0FE1">
      <w:rPr>
        <w:rFonts w:ascii="Century" w:hAnsi="Century"/>
        <w:b/>
        <w:bCs/>
        <w:i/>
        <w:iCs/>
        <w:sz w:val="19"/>
        <w:szCs w:val="19"/>
      </w:rPr>
      <w:t xml:space="preserve">    -    89044    Locri </w:t>
    </w:r>
    <w:proofErr w:type="gramStart"/>
    <w:r w:rsidRPr="006E0FE1">
      <w:rPr>
        <w:rFonts w:ascii="Century" w:hAnsi="Century"/>
        <w:b/>
        <w:bCs/>
        <w:i/>
        <w:iCs/>
        <w:sz w:val="19"/>
        <w:szCs w:val="19"/>
      </w:rPr>
      <w:t xml:space="preserve">   (</w:t>
    </w:r>
    <w:proofErr w:type="gramEnd"/>
    <w:r w:rsidRPr="006E0FE1">
      <w:rPr>
        <w:rFonts w:ascii="Century" w:hAnsi="Century"/>
        <w:b/>
        <w:bCs/>
        <w:i/>
        <w:iCs/>
        <w:sz w:val="19"/>
        <w:szCs w:val="19"/>
      </w:rPr>
      <w:t>RC)</w:t>
    </w:r>
  </w:p>
  <w:p w14:paraId="1F54A5E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23"/>
        <w:szCs w:val="23"/>
      </w:rPr>
    </w:pPr>
    <w:r w:rsidRPr="006E0FE1">
      <w:rPr>
        <w:rFonts w:ascii="Century" w:hAnsi="Century"/>
        <w:b/>
        <w:bCs/>
        <w:i/>
        <w:iCs/>
        <w:sz w:val="19"/>
        <w:szCs w:val="19"/>
      </w:rPr>
      <w:t>Tel.    0964   21530    Fax   0964   22151    e-mail   belcastro@epizefiri.it</w:t>
    </w:r>
  </w:p>
  <w:p w14:paraId="0D6DFD91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820E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19140A16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30D3ADE8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3C374CC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i/>
        <w:sz w:val="19"/>
        <w:szCs w:val="19"/>
      </w:rPr>
    </w:pPr>
    <w:r w:rsidRPr="006E0FE1">
      <w:rPr>
        <w:rFonts w:ascii="Century" w:hAnsi="Century"/>
        <w:b/>
        <w:i/>
        <w:sz w:val="19"/>
        <w:szCs w:val="19"/>
      </w:rPr>
      <w:t xml:space="preserve">116    </w:t>
    </w:r>
    <w:proofErr w:type="gramStart"/>
    <w:r w:rsidRPr="006E0FE1">
      <w:rPr>
        <w:rFonts w:ascii="Century" w:hAnsi="Century"/>
        <w:b/>
        <w:i/>
        <w:sz w:val="19"/>
        <w:szCs w:val="19"/>
      </w:rPr>
      <w:t>Via  Marconi</w:t>
    </w:r>
    <w:proofErr w:type="gramEnd"/>
    <w:r w:rsidRPr="006E0FE1">
      <w:rPr>
        <w:rFonts w:ascii="Century" w:hAnsi="Century"/>
        <w:b/>
        <w:i/>
        <w:sz w:val="19"/>
        <w:szCs w:val="19"/>
      </w:rPr>
      <w:t xml:space="preserve">    -    89044    Locri </w:t>
    </w:r>
    <w:proofErr w:type="gramStart"/>
    <w:r w:rsidRPr="006E0FE1">
      <w:rPr>
        <w:rFonts w:ascii="Century" w:hAnsi="Century"/>
        <w:b/>
        <w:i/>
        <w:sz w:val="19"/>
        <w:szCs w:val="19"/>
      </w:rPr>
      <w:t xml:space="preserve">   (RC)   </w:t>
    </w:r>
    <w:proofErr w:type="gramEnd"/>
    <w:r w:rsidRPr="006E0FE1">
      <w:rPr>
        <w:rFonts w:ascii="Century" w:hAnsi="Century"/>
        <w:b/>
        <w:i/>
        <w:sz w:val="19"/>
        <w:szCs w:val="19"/>
      </w:rPr>
      <w:t xml:space="preserve">   -     Tel.    0964   21530    Fax   0964   22151    </w:t>
    </w:r>
  </w:p>
  <w:p w14:paraId="3C6495F1" w14:textId="77777777" w:rsidR="006A0ADA" w:rsidRPr="006E0FE1" w:rsidRDefault="006A0ADA" w:rsidP="006A0ADA">
    <w:pPr>
      <w:pStyle w:val="Corpotesto"/>
      <w:jc w:val="center"/>
      <w:rPr>
        <w:sz w:val="19"/>
        <w:szCs w:val="19"/>
      </w:rPr>
    </w:pPr>
    <w:r w:rsidRPr="006E0FE1">
      <w:rPr>
        <w:sz w:val="19"/>
        <w:szCs w:val="19"/>
      </w:rPr>
      <w:t xml:space="preserve">e-mail </w:t>
    </w:r>
    <w:hyperlink r:id="rId1" w:history="1">
      <w:r w:rsidRPr="006E0FE1">
        <w:rPr>
          <w:rStyle w:val="Collegamentoipertestuale"/>
          <w:sz w:val="19"/>
          <w:szCs w:val="19"/>
        </w:rPr>
        <w:t>claudio.belcastro@studiobelcastro.it</w:t>
      </w:r>
    </w:hyperlink>
    <w:r w:rsidRPr="006E0FE1">
      <w:rPr>
        <w:sz w:val="19"/>
        <w:szCs w:val="19"/>
      </w:rPr>
      <w:t xml:space="preserve"> - web </w:t>
    </w:r>
    <w:hyperlink r:id="rId2" w:history="1">
      <w:r w:rsidRPr="006E0FE1">
        <w:rPr>
          <w:rStyle w:val="Collegamentoipertestuale"/>
          <w:sz w:val="19"/>
          <w:szCs w:val="19"/>
        </w:rPr>
        <w:t>www.studiobelcastro.it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19961" w14:textId="77777777" w:rsidR="003D6BED" w:rsidRDefault="003D6BED" w:rsidP="00A32F6D">
      <w:r>
        <w:separator/>
      </w:r>
    </w:p>
  </w:footnote>
  <w:footnote w:type="continuationSeparator" w:id="0">
    <w:p w14:paraId="7D094E70" w14:textId="77777777" w:rsidR="003D6BED" w:rsidRDefault="003D6BED" w:rsidP="00A3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47A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31"/>
        <w:szCs w:val="31"/>
      </w:rPr>
    </w:pPr>
    <w:r w:rsidRPr="006E0FE1">
      <w:rPr>
        <w:rFonts w:ascii="Century" w:hAnsi="Century"/>
        <w:b/>
        <w:bCs/>
        <w:i/>
        <w:iCs/>
        <w:sz w:val="27"/>
        <w:szCs w:val="27"/>
      </w:rPr>
      <w:t>STUDIO BELCASTRO</w:t>
    </w:r>
  </w:p>
  <w:p w14:paraId="3F173899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42"/>
        <w:szCs w:val="4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0C4"/>
    <w:multiLevelType w:val="hybridMultilevel"/>
    <w:tmpl w:val="E1CE38A4"/>
    <w:lvl w:ilvl="0" w:tplc="B8D42FAA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B79F8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6F45FD8"/>
    <w:multiLevelType w:val="multilevel"/>
    <w:tmpl w:val="56D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7240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E283DBC"/>
    <w:multiLevelType w:val="hybridMultilevel"/>
    <w:tmpl w:val="ECBC7386"/>
    <w:lvl w:ilvl="0" w:tplc="75F470E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660AD"/>
    <w:multiLevelType w:val="multilevel"/>
    <w:tmpl w:val="45C2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C44B14"/>
    <w:multiLevelType w:val="multilevel"/>
    <w:tmpl w:val="F29E3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C873A9"/>
    <w:multiLevelType w:val="hybridMultilevel"/>
    <w:tmpl w:val="E7204F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82F8F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5CE105D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E0E19F9"/>
    <w:multiLevelType w:val="hybridMultilevel"/>
    <w:tmpl w:val="34A89F64"/>
    <w:lvl w:ilvl="0" w:tplc="83421DE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5B35E68"/>
    <w:multiLevelType w:val="hybridMultilevel"/>
    <w:tmpl w:val="507AD78A"/>
    <w:lvl w:ilvl="0" w:tplc="C986CF4C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D3131"/>
    <w:multiLevelType w:val="hybridMultilevel"/>
    <w:tmpl w:val="2D6ABF36"/>
    <w:lvl w:ilvl="0" w:tplc="B4CED25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64749"/>
    <w:multiLevelType w:val="hybridMultilevel"/>
    <w:tmpl w:val="E6B0B2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A1290"/>
    <w:multiLevelType w:val="hybridMultilevel"/>
    <w:tmpl w:val="7FD46B5C"/>
    <w:lvl w:ilvl="0" w:tplc="9C92F9EC">
      <w:start w:val="3"/>
      <w:numFmt w:val="bullet"/>
      <w:lvlText w:val="-"/>
      <w:lvlJc w:val="left"/>
      <w:pPr>
        <w:ind w:left="420" w:hanging="360"/>
      </w:pPr>
      <w:rPr>
        <w:rFonts w:ascii="Century" w:eastAsia="Times New Roman" w:hAnsi="Century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60908EC"/>
    <w:multiLevelType w:val="hybridMultilevel"/>
    <w:tmpl w:val="0908F21E"/>
    <w:lvl w:ilvl="0" w:tplc="75FA788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A4677"/>
    <w:multiLevelType w:val="hybridMultilevel"/>
    <w:tmpl w:val="5C3CFBF6"/>
    <w:lvl w:ilvl="0" w:tplc="093E04E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54443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518651B6"/>
    <w:multiLevelType w:val="multilevel"/>
    <w:tmpl w:val="EF66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6175F6"/>
    <w:multiLevelType w:val="multilevel"/>
    <w:tmpl w:val="3E7A35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784267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0D21B60"/>
    <w:multiLevelType w:val="hybridMultilevel"/>
    <w:tmpl w:val="81AE8CAE"/>
    <w:lvl w:ilvl="0" w:tplc="F29E3700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65610E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52C69B3"/>
    <w:multiLevelType w:val="multilevel"/>
    <w:tmpl w:val="954AC5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799A4D3B"/>
    <w:multiLevelType w:val="hybridMultilevel"/>
    <w:tmpl w:val="1AC69A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83C5E"/>
    <w:multiLevelType w:val="hybridMultilevel"/>
    <w:tmpl w:val="C07E2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667244">
    <w:abstractNumId w:val="10"/>
  </w:num>
  <w:num w:numId="2" w16cid:durableId="662272964">
    <w:abstractNumId w:val="19"/>
  </w:num>
  <w:num w:numId="3" w16cid:durableId="353776043">
    <w:abstractNumId w:val="23"/>
  </w:num>
  <w:num w:numId="4" w16cid:durableId="1616669055">
    <w:abstractNumId w:val="8"/>
  </w:num>
  <w:num w:numId="5" w16cid:durableId="1844130009">
    <w:abstractNumId w:val="7"/>
  </w:num>
  <w:num w:numId="6" w16cid:durableId="2116631285">
    <w:abstractNumId w:val="15"/>
  </w:num>
  <w:num w:numId="7" w16cid:durableId="1462921736">
    <w:abstractNumId w:val="24"/>
  </w:num>
  <w:num w:numId="8" w16cid:durableId="95254443">
    <w:abstractNumId w:val="13"/>
  </w:num>
  <w:num w:numId="9" w16cid:durableId="272784366">
    <w:abstractNumId w:val="17"/>
  </w:num>
  <w:num w:numId="10" w16cid:durableId="551423960">
    <w:abstractNumId w:val="9"/>
  </w:num>
  <w:num w:numId="11" w16cid:durableId="1853564208">
    <w:abstractNumId w:val="1"/>
  </w:num>
  <w:num w:numId="12" w16cid:durableId="800532907">
    <w:abstractNumId w:val="3"/>
  </w:num>
  <w:num w:numId="13" w16cid:durableId="463816025">
    <w:abstractNumId w:val="20"/>
  </w:num>
  <w:num w:numId="14" w16cid:durableId="2102797573">
    <w:abstractNumId w:val="22"/>
  </w:num>
  <w:num w:numId="15" w16cid:durableId="1331981394">
    <w:abstractNumId w:val="25"/>
  </w:num>
  <w:num w:numId="16" w16cid:durableId="261425994">
    <w:abstractNumId w:val="4"/>
  </w:num>
  <w:num w:numId="17" w16cid:durableId="687219582">
    <w:abstractNumId w:val="12"/>
  </w:num>
  <w:num w:numId="18" w16cid:durableId="425343916">
    <w:abstractNumId w:val="21"/>
  </w:num>
  <w:num w:numId="19" w16cid:durableId="521167879">
    <w:abstractNumId w:val="2"/>
  </w:num>
  <w:num w:numId="20" w16cid:durableId="73018300">
    <w:abstractNumId w:val="16"/>
  </w:num>
  <w:num w:numId="21" w16cid:durableId="1147672760">
    <w:abstractNumId w:val="18"/>
  </w:num>
  <w:num w:numId="22" w16cid:durableId="616722941">
    <w:abstractNumId w:val="5"/>
  </w:num>
  <w:num w:numId="23" w16cid:durableId="1197768387">
    <w:abstractNumId w:val="11"/>
  </w:num>
  <w:num w:numId="24" w16cid:durableId="329332146">
    <w:abstractNumId w:val="6"/>
  </w:num>
  <w:num w:numId="25" w16cid:durableId="833956791">
    <w:abstractNumId w:val="14"/>
  </w:num>
  <w:num w:numId="26" w16cid:durableId="86213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FE1"/>
    <w:rsid w:val="000041B0"/>
    <w:rsid w:val="00265818"/>
    <w:rsid w:val="002B2E80"/>
    <w:rsid w:val="002B4DD3"/>
    <w:rsid w:val="003556F9"/>
    <w:rsid w:val="0037360F"/>
    <w:rsid w:val="00394758"/>
    <w:rsid w:val="003D6BED"/>
    <w:rsid w:val="00462257"/>
    <w:rsid w:val="00503BB1"/>
    <w:rsid w:val="00534569"/>
    <w:rsid w:val="0054469D"/>
    <w:rsid w:val="005D1430"/>
    <w:rsid w:val="00627F03"/>
    <w:rsid w:val="00637D2C"/>
    <w:rsid w:val="00695650"/>
    <w:rsid w:val="006A0ADA"/>
    <w:rsid w:val="006A41A2"/>
    <w:rsid w:val="006E0FE1"/>
    <w:rsid w:val="006F7B3E"/>
    <w:rsid w:val="00710C35"/>
    <w:rsid w:val="00710D33"/>
    <w:rsid w:val="007279FD"/>
    <w:rsid w:val="00746C16"/>
    <w:rsid w:val="007605B6"/>
    <w:rsid w:val="007760E9"/>
    <w:rsid w:val="0084412C"/>
    <w:rsid w:val="00864620"/>
    <w:rsid w:val="008744E7"/>
    <w:rsid w:val="008E38AF"/>
    <w:rsid w:val="00913301"/>
    <w:rsid w:val="009C4667"/>
    <w:rsid w:val="00A250B0"/>
    <w:rsid w:val="00A32F6D"/>
    <w:rsid w:val="00A7742F"/>
    <w:rsid w:val="00B47718"/>
    <w:rsid w:val="00B827D3"/>
    <w:rsid w:val="00B93C06"/>
    <w:rsid w:val="00BA3538"/>
    <w:rsid w:val="00BB12F6"/>
    <w:rsid w:val="00C46AF2"/>
    <w:rsid w:val="00CB1497"/>
    <w:rsid w:val="00CC35B9"/>
    <w:rsid w:val="00D620A4"/>
    <w:rsid w:val="00D81B8C"/>
    <w:rsid w:val="00DF5BE5"/>
    <w:rsid w:val="00DF6D65"/>
    <w:rsid w:val="00E2323C"/>
    <w:rsid w:val="00EE27B3"/>
    <w:rsid w:val="00F24E1A"/>
    <w:rsid w:val="00F84834"/>
    <w:rsid w:val="00FB0ADB"/>
    <w:rsid w:val="00FD4C19"/>
    <w:rsid w:val="00FE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C67A"/>
  <w15:docId w15:val="{98EBD263-6EC8-4EA1-A020-DFFDE69C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0FE1"/>
    <w:pPr>
      <w:keepNext/>
      <w:outlineLvl w:val="1"/>
    </w:pPr>
    <w:rPr>
      <w:rFonts w:ascii="Century" w:hAnsi="Century"/>
      <w:b/>
      <w:bCs/>
      <w:i/>
      <w:iCs/>
      <w:sz w:val="36"/>
    </w:rPr>
  </w:style>
  <w:style w:type="paragraph" w:styleId="Titolo3">
    <w:name w:val="heading 3"/>
    <w:basedOn w:val="Normale"/>
    <w:next w:val="Normale"/>
    <w:link w:val="Titolo3Carattere"/>
    <w:qFormat/>
    <w:rsid w:val="006E0FE1"/>
    <w:pPr>
      <w:keepNext/>
      <w:outlineLvl w:val="2"/>
    </w:pPr>
    <w:rPr>
      <w:rFonts w:ascii="Century" w:hAnsi="Century"/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6E0FE1"/>
    <w:pPr>
      <w:keepNext/>
      <w:outlineLvl w:val="3"/>
    </w:pPr>
    <w:rPr>
      <w:rFonts w:ascii="Century" w:hAnsi="Century"/>
      <w:b/>
      <w:bCs/>
      <w:i/>
      <w:iCs/>
      <w:sz w:val="20"/>
    </w:rPr>
  </w:style>
  <w:style w:type="paragraph" w:styleId="Titolo5">
    <w:name w:val="heading 5"/>
    <w:basedOn w:val="Normale"/>
    <w:next w:val="Normale"/>
    <w:link w:val="Titolo5Carattere"/>
    <w:qFormat/>
    <w:rsid w:val="006E0FE1"/>
    <w:pPr>
      <w:keepNext/>
      <w:outlineLvl w:val="4"/>
    </w:pPr>
    <w:rPr>
      <w:rFonts w:ascii="Century" w:hAnsi="Century"/>
      <w:b/>
      <w:bCs/>
      <w:i/>
      <w:iCs/>
      <w:sz w:val="18"/>
    </w:rPr>
  </w:style>
  <w:style w:type="paragraph" w:styleId="Titolo7">
    <w:name w:val="heading 7"/>
    <w:basedOn w:val="Normale"/>
    <w:next w:val="Normale"/>
    <w:link w:val="Titolo7Carattere"/>
    <w:qFormat/>
    <w:rsid w:val="006E0FE1"/>
    <w:pPr>
      <w:keepNext/>
      <w:jc w:val="both"/>
      <w:outlineLvl w:val="6"/>
    </w:pPr>
    <w:rPr>
      <w:rFonts w:ascii="Century" w:hAnsi="Century"/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E0FE1"/>
    <w:rPr>
      <w:rFonts w:ascii="Century" w:eastAsia="Times New Roman" w:hAnsi="Century" w:cs="Times New Roman"/>
      <w:b/>
      <w:bCs/>
      <w:i/>
      <w:iCs/>
      <w:sz w:val="36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E0FE1"/>
    <w:rPr>
      <w:rFonts w:ascii="Century" w:eastAsia="Times New Roman" w:hAnsi="Century" w:cs="Times New Roman"/>
      <w:b/>
      <w:bCs/>
      <w:i/>
      <w:iCs/>
      <w:sz w:val="18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6E0FE1"/>
    <w:rPr>
      <w:rFonts w:ascii="Century" w:hAnsi="Century"/>
      <w:b/>
      <w:bCs/>
      <w:i/>
      <w:iCs/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styleId="Collegamentoipertestuale">
    <w:name w:val="Hyperlink"/>
    <w:basedOn w:val="Carpredefinitoparagrafo"/>
    <w:rsid w:val="006E0FE1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6E0F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E0FE1"/>
  </w:style>
  <w:style w:type="paragraph" w:styleId="Intestazione">
    <w:name w:val="header"/>
    <w:basedOn w:val="Normale"/>
    <w:link w:val="IntestazioneCarattere"/>
    <w:rsid w:val="006E0F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6E0FE1"/>
    <w:pPr>
      <w:jc w:val="both"/>
    </w:pPr>
    <w:rPr>
      <w:rFonts w:ascii="Century" w:hAnsi="Century"/>
      <w:b/>
      <w:bCs/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0F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0FE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A41A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6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belcastro.it" TargetMode="External"/><Relationship Id="rId1" Type="http://schemas.openxmlformats.org/officeDocument/2006/relationships/hyperlink" Target="mailto:claudio.belcastro@studiobelcast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Nodo5</cp:lastModifiedBy>
  <cp:revision>30</cp:revision>
  <cp:lastPrinted>2018-01-16T09:21:00Z</cp:lastPrinted>
  <dcterms:created xsi:type="dcterms:W3CDTF">2017-01-17T14:20:00Z</dcterms:created>
  <dcterms:modified xsi:type="dcterms:W3CDTF">2026-09-23T15:15:00Z</dcterms:modified>
</cp:coreProperties>
</file>