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5142A" w14:textId="2352B119" w:rsidR="006E0FE1" w:rsidRPr="006E0FE1" w:rsidRDefault="006E0FE1" w:rsidP="002B4DD3">
      <w:pPr>
        <w:pStyle w:val="Titolo2"/>
        <w:jc w:val="center"/>
        <w:rPr>
          <w:b w:val="0"/>
          <w:bCs w:val="0"/>
          <w:i w:val="0"/>
          <w:iCs w:val="0"/>
          <w:sz w:val="23"/>
          <w:szCs w:val="23"/>
        </w:rPr>
      </w:pPr>
      <w:r w:rsidRPr="006E0FE1">
        <w:rPr>
          <w:sz w:val="42"/>
          <w:szCs w:val="42"/>
        </w:rPr>
        <w:t>STUDIO</w:t>
      </w:r>
      <w:r w:rsidRPr="006E0FE1">
        <w:rPr>
          <w:sz w:val="46"/>
          <w:szCs w:val="46"/>
        </w:rPr>
        <w:t xml:space="preserve">   </w:t>
      </w:r>
      <w:r w:rsidRPr="006E0FE1">
        <w:rPr>
          <w:sz w:val="42"/>
          <w:szCs w:val="42"/>
        </w:rPr>
        <w:t>BELCASTRO</w:t>
      </w:r>
    </w:p>
    <w:p w14:paraId="71037DB3" w14:textId="77777777" w:rsidR="006E0FE1" w:rsidRPr="006E0FE1" w:rsidRDefault="006E0FE1" w:rsidP="006E0FE1">
      <w:pPr>
        <w:pStyle w:val="Titolo3"/>
        <w:rPr>
          <w:sz w:val="23"/>
          <w:szCs w:val="23"/>
        </w:rPr>
      </w:pPr>
      <w:r w:rsidRPr="006E0FE1">
        <w:rPr>
          <w:sz w:val="23"/>
          <w:szCs w:val="23"/>
        </w:rPr>
        <w:t>Dott. Claudio Belcastro</w:t>
      </w:r>
    </w:p>
    <w:p w14:paraId="2DFA3257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Sergio Policheni</w:t>
      </w:r>
    </w:p>
    <w:p w14:paraId="726A0640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Antonio Albanese</w:t>
      </w:r>
    </w:p>
    <w:p w14:paraId="687EAC80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Emanuela Candido</w:t>
      </w:r>
    </w:p>
    <w:p w14:paraId="5EAC9007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Maria Teresa Cimarosa</w:t>
      </w:r>
    </w:p>
    <w:p w14:paraId="1D1E3B1B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Saverio Leotta</w:t>
      </w:r>
    </w:p>
    <w:p w14:paraId="2BCE3721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Dott. Cristina Pelle</w:t>
      </w:r>
    </w:p>
    <w:p w14:paraId="2125A8EF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Caterina Piccolo</w:t>
      </w:r>
    </w:p>
    <w:p w14:paraId="3CCE984A" w14:textId="77777777" w:rsidR="006E0FE1" w:rsidRPr="006E0FE1" w:rsidRDefault="006E0FE1" w:rsidP="006E0FE1">
      <w:pPr>
        <w:pStyle w:val="Titolo4"/>
        <w:rPr>
          <w:sz w:val="15"/>
          <w:szCs w:val="15"/>
        </w:rPr>
      </w:pPr>
      <w:r w:rsidRPr="006E0FE1">
        <w:rPr>
          <w:sz w:val="15"/>
          <w:szCs w:val="15"/>
        </w:rPr>
        <w:t>Rag. Santina Sansotta</w:t>
      </w:r>
    </w:p>
    <w:p w14:paraId="5CB522F3" w14:textId="77777777" w:rsidR="006E0FE1" w:rsidRPr="006E0FE1" w:rsidRDefault="006E0FE1" w:rsidP="006E0FE1">
      <w:pPr>
        <w:pStyle w:val="Titolo4"/>
        <w:rPr>
          <w:sz w:val="19"/>
          <w:szCs w:val="19"/>
        </w:rPr>
      </w:pPr>
    </w:p>
    <w:p w14:paraId="2C0ABCD7" w14:textId="77777777" w:rsidR="006E0FE1" w:rsidRPr="006E0FE1" w:rsidRDefault="006E0FE1" w:rsidP="006E0FE1">
      <w:pPr>
        <w:pStyle w:val="Titolo5"/>
        <w:rPr>
          <w:sz w:val="23"/>
          <w:szCs w:val="23"/>
        </w:rPr>
      </w:pPr>
      <w:r w:rsidRPr="006E0FE1">
        <w:rPr>
          <w:sz w:val="23"/>
          <w:szCs w:val="23"/>
        </w:rPr>
        <w:t xml:space="preserve">Dott. Claudio Belcastro                                                         </w:t>
      </w:r>
    </w:p>
    <w:p w14:paraId="32FB418C" w14:textId="77777777" w:rsidR="006E0FE1" w:rsidRPr="006E0FE1" w:rsidRDefault="006E0FE1" w:rsidP="006E0FE1">
      <w:pPr>
        <w:pStyle w:val="Titolo5"/>
        <w:rPr>
          <w:sz w:val="15"/>
          <w:szCs w:val="15"/>
        </w:rPr>
      </w:pPr>
      <w:r w:rsidRPr="006E0FE1">
        <w:rPr>
          <w:sz w:val="15"/>
          <w:szCs w:val="15"/>
        </w:rPr>
        <w:t>Dottore Commercialista – Revisore Contabile</w:t>
      </w:r>
    </w:p>
    <w:p w14:paraId="6C0E6F99" w14:textId="77777777" w:rsidR="006E0FE1" w:rsidRPr="006E0FE1" w:rsidRDefault="006E0FE1" w:rsidP="006E0FE1">
      <w:pPr>
        <w:pStyle w:val="Titolo5"/>
        <w:rPr>
          <w:bCs w:val="0"/>
          <w:iCs w:val="0"/>
          <w:sz w:val="15"/>
          <w:szCs w:val="15"/>
        </w:rPr>
      </w:pPr>
      <w:r w:rsidRPr="006A0ADA">
        <w:rPr>
          <w:bCs w:val="0"/>
          <w:iCs w:val="0"/>
          <w:sz w:val="15"/>
          <w:szCs w:val="15"/>
        </w:rPr>
        <w:t>c.f. BLC CLD 55S14 D976</w:t>
      </w:r>
      <w:proofErr w:type="gramStart"/>
      <w:r w:rsidRPr="006A0ADA">
        <w:rPr>
          <w:bCs w:val="0"/>
          <w:iCs w:val="0"/>
          <w:sz w:val="15"/>
          <w:szCs w:val="15"/>
        </w:rPr>
        <w:t>H  -</w:t>
      </w:r>
      <w:proofErr w:type="gramEnd"/>
      <w:r w:rsidRPr="006A0ADA">
        <w:rPr>
          <w:bCs w:val="0"/>
          <w:iCs w:val="0"/>
          <w:sz w:val="15"/>
          <w:szCs w:val="15"/>
        </w:rPr>
        <w:t xml:space="preserve">  p.i.  </w:t>
      </w:r>
      <w:r w:rsidRPr="006E0FE1">
        <w:rPr>
          <w:bCs w:val="0"/>
          <w:iCs w:val="0"/>
          <w:sz w:val="15"/>
          <w:szCs w:val="15"/>
        </w:rPr>
        <w:t>00721660801</w:t>
      </w:r>
    </w:p>
    <w:p w14:paraId="5A073701" w14:textId="77777777" w:rsidR="006E0FE1" w:rsidRDefault="006E0FE1" w:rsidP="006E0FE1">
      <w:pPr>
        <w:rPr>
          <w:rFonts w:ascii="Century" w:hAnsi="Century"/>
          <w:b/>
          <w:bCs/>
          <w:i/>
          <w:iCs/>
        </w:rPr>
      </w:pPr>
    </w:p>
    <w:p w14:paraId="0865AB23" w14:textId="77777777" w:rsidR="00913301" w:rsidRDefault="00913301" w:rsidP="006E0FE1">
      <w:pPr>
        <w:rPr>
          <w:rFonts w:ascii="Century" w:hAnsi="Century"/>
          <w:b/>
          <w:bCs/>
          <w:i/>
          <w:iCs/>
        </w:rPr>
      </w:pPr>
    </w:p>
    <w:p w14:paraId="521F580D" w14:textId="564C4C5A" w:rsidR="00EE27B3" w:rsidRPr="00EE27B3" w:rsidRDefault="00913301" w:rsidP="00EE27B3">
      <w:pPr>
        <w:rPr>
          <w:rFonts w:ascii="Century" w:hAnsi="Century"/>
          <w:b/>
          <w:bCs/>
          <w:i/>
          <w:iCs/>
        </w:rPr>
      </w:pPr>
      <w:r>
        <w:rPr>
          <w:rFonts w:ascii="Century" w:hAnsi="Century"/>
          <w:b/>
          <w:bCs/>
          <w:i/>
          <w:iCs/>
        </w:rPr>
        <w:t xml:space="preserve">Circolare Informativa </w:t>
      </w:r>
      <w:r w:rsidR="006A41A2">
        <w:rPr>
          <w:rFonts w:ascii="Century" w:hAnsi="Century"/>
          <w:b/>
          <w:bCs/>
          <w:i/>
          <w:iCs/>
        </w:rPr>
        <w:t>n. 0</w:t>
      </w:r>
      <w:r w:rsidR="0084412C">
        <w:rPr>
          <w:rFonts w:ascii="Century" w:hAnsi="Century"/>
          <w:b/>
          <w:bCs/>
          <w:i/>
          <w:iCs/>
        </w:rPr>
        <w:t>5</w:t>
      </w:r>
      <w:r w:rsidR="006A41A2">
        <w:rPr>
          <w:rFonts w:ascii="Century" w:hAnsi="Century"/>
          <w:b/>
          <w:bCs/>
          <w:i/>
          <w:iCs/>
        </w:rPr>
        <w:t xml:space="preserve"> </w:t>
      </w:r>
      <w:r>
        <w:rPr>
          <w:rFonts w:ascii="Century" w:hAnsi="Century"/>
          <w:b/>
          <w:bCs/>
          <w:i/>
          <w:iCs/>
        </w:rPr>
        <w:t xml:space="preserve">del </w:t>
      </w:r>
      <w:r w:rsidR="0084412C">
        <w:rPr>
          <w:rFonts w:ascii="Century" w:hAnsi="Century"/>
          <w:b/>
          <w:bCs/>
          <w:i/>
          <w:iCs/>
        </w:rPr>
        <w:t>07</w:t>
      </w:r>
      <w:r w:rsidR="00EE27B3" w:rsidRPr="00EE27B3">
        <w:rPr>
          <w:rFonts w:ascii="Century" w:hAnsi="Century"/>
          <w:b/>
          <w:bCs/>
          <w:i/>
          <w:iCs/>
        </w:rPr>
        <w:t>/0</w:t>
      </w:r>
      <w:r w:rsidR="0084412C">
        <w:rPr>
          <w:rFonts w:ascii="Century" w:hAnsi="Century"/>
          <w:b/>
          <w:bCs/>
          <w:i/>
          <w:iCs/>
        </w:rPr>
        <w:t>3</w:t>
      </w:r>
      <w:r w:rsidR="00EE27B3" w:rsidRPr="00EE27B3">
        <w:rPr>
          <w:rFonts w:ascii="Century" w:hAnsi="Century"/>
          <w:b/>
          <w:bCs/>
          <w:i/>
          <w:iCs/>
        </w:rPr>
        <w:t>/2026</w:t>
      </w:r>
    </w:p>
    <w:p w14:paraId="6800EA9A" w14:textId="77777777" w:rsidR="00EE27B3" w:rsidRDefault="00EE27B3" w:rsidP="00695650">
      <w:pPr>
        <w:rPr>
          <w:rFonts w:ascii="Century" w:hAnsi="Century"/>
          <w:b/>
          <w:bCs/>
          <w:i/>
          <w:iCs/>
        </w:rPr>
      </w:pPr>
    </w:p>
    <w:p w14:paraId="79DC2EB0" w14:textId="46A5F6FC" w:rsidR="00695650" w:rsidRDefault="006A41A2" w:rsidP="00695650">
      <w:pPr>
        <w:rPr>
          <w:rFonts w:ascii="Century" w:hAnsi="Century"/>
          <w:b/>
          <w:bCs/>
          <w:i/>
          <w:iCs/>
        </w:rPr>
      </w:pPr>
      <w:r>
        <w:rPr>
          <w:rFonts w:ascii="Century" w:hAnsi="Century"/>
          <w:b/>
          <w:bCs/>
          <w:i/>
          <w:iCs/>
        </w:rPr>
        <w:t>Indice Argomenti</w:t>
      </w:r>
      <w:r w:rsidR="006E0FE1" w:rsidRPr="002B4DD3">
        <w:rPr>
          <w:rFonts w:ascii="Century" w:hAnsi="Century"/>
          <w:b/>
          <w:bCs/>
          <w:i/>
          <w:iCs/>
        </w:rPr>
        <w:t xml:space="preserve">: </w:t>
      </w:r>
    </w:p>
    <w:p w14:paraId="215CC17B" w14:textId="77777777" w:rsidR="00EE27B3" w:rsidRPr="00EE27B3" w:rsidRDefault="00EE27B3" w:rsidP="00EE27B3">
      <w:pPr>
        <w:pStyle w:val="Corpodeltesto2"/>
        <w:ind w:left="720"/>
        <w:rPr>
          <w:lang w:val="it"/>
        </w:rPr>
      </w:pPr>
    </w:p>
    <w:p w14:paraId="402818A1" w14:textId="43DE336E" w:rsidR="0084412C" w:rsidRPr="0084412C" w:rsidRDefault="0084412C" w:rsidP="0084412C">
      <w:pPr>
        <w:pStyle w:val="Corpodeltesto2"/>
        <w:numPr>
          <w:ilvl w:val="0"/>
          <w:numId w:val="23"/>
        </w:numPr>
        <w:rPr>
          <w:u w:val="single"/>
        </w:rPr>
      </w:pPr>
      <w:r w:rsidRPr="0084412C">
        <w:rPr>
          <w:u w:val="single"/>
        </w:rPr>
        <w:t>Sospensione adempimenti per Emergenza Ciclone Harry</w:t>
      </w:r>
    </w:p>
    <w:p w14:paraId="611D67E8" w14:textId="77777777" w:rsidR="0084412C" w:rsidRDefault="0084412C" w:rsidP="00503BB1">
      <w:pPr>
        <w:pStyle w:val="Corpodeltesto2"/>
        <w:rPr>
          <w:u w:val="single"/>
        </w:rPr>
      </w:pPr>
    </w:p>
    <w:p w14:paraId="68EA1011" w14:textId="77777777" w:rsidR="0084412C" w:rsidRPr="0084412C" w:rsidRDefault="0084412C" w:rsidP="0084412C">
      <w:pPr>
        <w:pStyle w:val="Corpodeltesto2"/>
        <w:rPr>
          <w:u w:val="single"/>
        </w:rPr>
      </w:pPr>
      <w:r w:rsidRPr="0084412C">
        <w:rPr>
          <w:u w:val="single"/>
        </w:rPr>
        <w:t>Previste sospensioni di adempimenti e versamenti fino al 30 aprile 2026 (saldo entro il 10 ottobre 2026), misure sugli ammortizzatori sociali e indennità per autonomi</w:t>
      </w:r>
    </w:p>
    <w:p w14:paraId="7677406D" w14:textId="77777777" w:rsidR="0084412C" w:rsidRPr="0084412C" w:rsidRDefault="0084412C" w:rsidP="0084412C">
      <w:pPr>
        <w:pStyle w:val="Corpodeltesto2"/>
      </w:pPr>
      <w:r w:rsidRPr="0084412C">
        <w:t xml:space="preserve">In vigore gli interventi per fronteggiare l’emergenza provocata dagli eccezionali eventi metereologici che, a partire dal 18 gennaio 2026, hanno colpito Calabria, Sardegna e Sicilia, cosiddetto “Ciclone Harry”, nonché le misure a fronte della frana verificatasi a Niscemi; </w:t>
      </w:r>
      <w:proofErr w:type="gramStart"/>
      <w:r w:rsidRPr="0084412C">
        <w:t>in seguito</w:t>
      </w:r>
      <w:proofErr w:type="gramEnd"/>
      <w:r w:rsidRPr="0084412C">
        <w:t xml:space="preserve"> alla pubblicazione in Gazzetta Ufficiale n.48 del 27 febbraio del </w:t>
      </w:r>
      <w:proofErr w:type="gramStart"/>
      <w:r w:rsidRPr="0084412C">
        <w:t>Decreto Legge</w:t>
      </w:r>
      <w:proofErr w:type="gramEnd"/>
      <w:r w:rsidRPr="0084412C">
        <w:t xml:space="preserve"> n.25/2026. </w:t>
      </w:r>
    </w:p>
    <w:p w14:paraId="57EF9726" w14:textId="77777777" w:rsidR="0084412C" w:rsidRPr="0084412C" w:rsidRDefault="0084412C" w:rsidP="0084412C">
      <w:pPr>
        <w:pStyle w:val="Corpodeltesto2"/>
      </w:pPr>
      <w:r w:rsidRPr="0084412C">
        <w:t>Si ricorda che ARERA, con un provvedimento d’urgenza del 10 febbraio 2026, ha approvato la sospensione per sei mesi del pagamento di bollette e avvisi di pagamento di luce, gas, acqua e rifiuti a partire dal 18 gennaio 2026, per le popolazioni delle Regioni di cui sopra, compreso il comune di Niscemi. In tal senso era intervenuto anche il Consiglio Nazionale dei Dottori Commercialisti e degli Esperti Contabili proponendo, appunto, la</w:t>
      </w:r>
      <w:hyperlink r:id="rId7" w:tgtFrame="_blank" w:history="1">
        <w:r w:rsidRPr="0084412C">
          <w:rPr>
            <w:rStyle w:val="Collegamentoipertestuale"/>
            <w:u w:val="none"/>
          </w:rPr>
          <w:t> proroga</w:t>
        </w:r>
      </w:hyperlink>
      <w:r w:rsidRPr="0084412C">
        <w:t> degli adempimenti e dei versamenti in scadenza nel primo semestre del 2026. </w:t>
      </w:r>
    </w:p>
    <w:p w14:paraId="06B7D5D4" w14:textId="77777777" w:rsidR="0084412C" w:rsidRDefault="0084412C" w:rsidP="0084412C">
      <w:pPr>
        <w:pStyle w:val="Corpodeltesto2"/>
      </w:pPr>
    </w:p>
    <w:p w14:paraId="1D8668E5" w14:textId="4332962B" w:rsidR="0084412C" w:rsidRPr="0084412C" w:rsidRDefault="0084412C" w:rsidP="0084412C">
      <w:pPr>
        <w:pStyle w:val="Corpodeltesto2"/>
        <w:rPr>
          <w:u w:val="single"/>
        </w:rPr>
      </w:pPr>
      <w:r w:rsidRPr="0084412C">
        <w:rPr>
          <w:u w:val="single"/>
        </w:rPr>
        <w:t>Sospensione dei termini in materia di adempimenti e versamenti tributari e contributivi</w:t>
      </w:r>
    </w:p>
    <w:p w14:paraId="4872D5BC" w14:textId="77777777" w:rsidR="0084412C" w:rsidRPr="0084412C" w:rsidRDefault="0084412C" w:rsidP="0084412C">
      <w:pPr>
        <w:pStyle w:val="Corpodeltesto2"/>
      </w:pPr>
      <w:r w:rsidRPr="0084412C">
        <w:t xml:space="preserve">Andando nel dettaglio – secondo quanto disposto dall’articolo 2 del DL in argomento – per i soggetti che alla data del 18 gennaio 2026 avevano la residenza ovvero la sede legale o la sede operativa in immobili, situati nei comuni interessati dagli eventi metereologici per i quali è stato dichiarato lo stato di emergenza con delibera del </w:t>
      </w:r>
      <w:proofErr w:type="gramStart"/>
      <w:r w:rsidRPr="0084412C">
        <w:t>Consiglio dei Ministri</w:t>
      </w:r>
      <w:proofErr w:type="gramEnd"/>
      <w:r w:rsidRPr="0084412C">
        <w:t xml:space="preserve"> del 26 gennaio 2026:</w:t>
      </w:r>
    </w:p>
    <w:p w14:paraId="787E5E24" w14:textId="77777777" w:rsidR="0084412C" w:rsidRPr="0084412C" w:rsidRDefault="0084412C" w:rsidP="0084412C">
      <w:pPr>
        <w:pStyle w:val="Corpodeltesto2"/>
        <w:numPr>
          <w:ilvl w:val="0"/>
          <w:numId w:val="24"/>
        </w:numPr>
      </w:pPr>
      <w:r w:rsidRPr="0084412C">
        <w:t xml:space="preserve">danneggiati e sgomberati per inagibilità in esecuzione di provvedimenti adottati, entro il 27 febbraio 2026, delle competenti autorità in conseguenza dei </w:t>
      </w:r>
      <w:proofErr w:type="gramStart"/>
      <w:r w:rsidRPr="0084412C">
        <w:t>predetti</w:t>
      </w:r>
      <w:proofErr w:type="gramEnd"/>
      <w:r w:rsidRPr="0084412C">
        <w:t xml:space="preserve"> eventi metereologici verificatesi a partire dal 18 gennaio 2026;</w:t>
      </w:r>
    </w:p>
    <w:p w14:paraId="22EE8AE8" w14:textId="77777777" w:rsidR="0084412C" w:rsidRPr="0084412C" w:rsidRDefault="0084412C" w:rsidP="0084412C">
      <w:pPr>
        <w:pStyle w:val="Corpodeltesto2"/>
        <w:numPr>
          <w:ilvl w:val="0"/>
          <w:numId w:val="24"/>
        </w:numPr>
      </w:pPr>
      <w:r w:rsidRPr="0084412C">
        <w:t xml:space="preserve">danneggiati per i quali, alla data del 27 febbraio 2026, sia stata chiesta la verifica di agibilità in conseguenza dei menzionati eventi metereologici verificatesi a partire dal 18 gennaio 2026 e, all’esito delle verifiche svolte, è </w:t>
      </w:r>
      <w:r w:rsidRPr="0084412C">
        <w:lastRenderedPageBreak/>
        <w:t>disposto lo sgombero per inagibilità in esecuzione di provvedimenti adottati dalle competenti autorità.</w:t>
      </w:r>
    </w:p>
    <w:p w14:paraId="3453BBA0" w14:textId="77777777" w:rsidR="0084412C" w:rsidRPr="0084412C" w:rsidRDefault="0084412C" w:rsidP="0084412C">
      <w:pPr>
        <w:pStyle w:val="Corpodeltesto2"/>
      </w:pPr>
      <w:r w:rsidRPr="0084412C">
        <w:t>Nei confronti di tali soggetti sono sospesi i termini degli adempimenti tributari in scadenza nel periodo dal 18 gennaio 2026 al 30 aprile 2026, ad eccezione di quelli concernenti la disciplina dei dazi doganali e delle accise, nonché gli adempimenti relativi ai rapporti di lavoro, verso le pubbliche amministrazioni, previsti a carico di datori di lavoro, professionisti e consulenti. Tali versamenti devono essere effettuati, senza applicazione di sanzioni e interessi, in un’unica soluzione entro il 10 ottobre 2026. I termini di versamento relativi alle cartelle di pagamento, non ancora affidati all’agente della riscossione, riprendono a decorrere dalla scadenza del periodo di successione.</w:t>
      </w:r>
    </w:p>
    <w:p w14:paraId="7C4A187A" w14:textId="77777777" w:rsidR="0084412C" w:rsidRDefault="0084412C" w:rsidP="0084412C">
      <w:pPr>
        <w:pStyle w:val="Corpodeltesto2"/>
      </w:pPr>
    </w:p>
    <w:p w14:paraId="0B51BEB2" w14:textId="5592D033" w:rsidR="0084412C" w:rsidRPr="0084412C" w:rsidRDefault="0084412C" w:rsidP="0084412C">
      <w:pPr>
        <w:pStyle w:val="Corpodeltesto2"/>
        <w:rPr>
          <w:u w:val="single"/>
        </w:rPr>
      </w:pPr>
      <w:r w:rsidRPr="0084412C">
        <w:rPr>
          <w:u w:val="single"/>
        </w:rPr>
        <w:t>Disposizioni in materia di ammortizzatori sociali </w:t>
      </w:r>
    </w:p>
    <w:p w14:paraId="5A0D76C6" w14:textId="77777777" w:rsidR="0084412C" w:rsidRPr="0084412C" w:rsidRDefault="0084412C" w:rsidP="0084412C">
      <w:pPr>
        <w:pStyle w:val="Corpodeltesto2"/>
      </w:pPr>
      <w:r w:rsidRPr="0084412C">
        <w:t>In materia di ammortizzatori sociali, ai lavoratori subordinati del settore privato, inclusi i lavoratori agricoli, che, alla data del 18 gennaio 2026, risiedevano o erano domiciliati ovvero lavoravano presso un’impresa aventi sedi produttive o operative in uno dei territori dei comuni interessati dagli eventi metereologici, per i quali è stato dichiarato lo stato di emergenza con menzionata delibera del Consiglio dei Ministri del 26 gennaio 2026 e che sono stati o sono impossibilitati a prestare attività lavorativa a seguito dei menzionati eventi metereologici, è riconosciuta dall’INPS, in ogni caso entro il limite temporale del 30 aprile 2026, una integrazione al reddito, con  relativa contribuzione figurativa, di importo mensile massimo pari a quello previsto per le integrazioni salariali di cui all’</w:t>
      </w:r>
      <w:hyperlink r:id="rId8" w:anchor="toc-6-articolo-3" w:tgtFrame="_blank" w:history="1">
        <w:r w:rsidRPr="0084412C">
          <w:rPr>
            <w:rStyle w:val="Collegamentoipertestuale"/>
            <w:u w:val="none"/>
          </w:rPr>
          <w:t>articolo 3 </w:t>
        </w:r>
      </w:hyperlink>
      <w:r w:rsidRPr="0084412C">
        <w:t>del decreto legislativo n.148/2015. È quanto previsto dall’articolo 5 del DL in argomento. </w:t>
      </w:r>
    </w:p>
    <w:p w14:paraId="5192680A" w14:textId="77777777" w:rsidR="0084412C" w:rsidRPr="0084412C" w:rsidRDefault="0084412C" w:rsidP="0084412C">
      <w:pPr>
        <w:pStyle w:val="Corpodeltesto2"/>
      </w:pPr>
      <w:r w:rsidRPr="0084412C">
        <w:t>Infine, si evidenzia che ai lavoratori autonomi, compresi gli agenti di commercio, che alla data del 18 gennaio 2026, risiedevano o erano domiciliati nei comuni per i quali è stato dichiarato lo stato di emergenza e che hanno dovuto sospendere l’attività a causa dei predetti eventi metereologici, è riconosciuta una indennità una tantum, nel rispetto della normativa dell’Unione Europea e in materia di aiuti di Stato, pari a 500 euro per ciascun periodo di sospensione non superiore a quindici giorni e comunque nella misura massima complessiva di 3.000 euro; secondo quanto disposto dall’articolo 6 del citato decreto legge.</w:t>
      </w:r>
    </w:p>
    <w:p w14:paraId="6CF2BE03" w14:textId="77777777" w:rsidR="0084412C" w:rsidRPr="0084412C" w:rsidRDefault="0084412C" w:rsidP="00503BB1">
      <w:pPr>
        <w:pStyle w:val="Corpodeltesto2"/>
      </w:pPr>
    </w:p>
    <w:sectPr w:rsidR="0084412C" w:rsidRPr="0084412C" w:rsidSect="002B4DD3"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1134" w:right="1134" w:bottom="1134" w:left="1134" w:header="709" w:footer="709" w:gutter="0"/>
      <w:cols w:sep="1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337B3" w14:textId="77777777" w:rsidR="00265818" w:rsidRDefault="00265818" w:rsidP="00A32F6D">
      <w:r>
        <w:separator/>
      </w:r>
    </w:p>
  </w:endnote>
  <w:endnote w:type="continuationSeparator" w:id="0">
    <w:p w14:paraId="55B1C47B" w14:textId="77777777" w:rsidR="00265818" w:rsidRDefault="00265818" w:rsidP="00A3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509DB" w14:textId="77777777" w:rsidR="006A0ADA" w:rsidRPr="006E0FE1" w:rsidRDefault="00710C35">
    <w:pPr>
      <w:pStyle w:val="Pidipagina"/>
      <w:framePr w:wrap="around" w:vAnchor="text" w:hAnchor="margin" w:xAlign="right" w:y="1"/>
      <w:rPr>
        <w:rStyle w:val="Numeropagina"/>
        <w:sz w:val="23"/>
        <w:szCs w:val="23"/>
      </w:rPr>
    </w:pPr>
    <w:r w:rsidRPr="006E0FE1">
      <w:rPr>
        <w:rStyle w:val="Numeropagina"/>
        <w:sz w:val="23"/>
        <w:szCs w:val="23"/>
      </w:rPr>
      <w:fldChar w:fldCharType="begin"/>
    </w:r>
    <w:r w:rsidR="006A0ADA" w:rsidRPr="006E0FE1">
      <w:rPr>
        <w:rStyle w:val="Numeropagina"/>
        <w:sz w:val="23"/>
        <w:szCs w:val="23"/>
      </w:rPr>
      <w:instrText xml:space="preserve">PAGE  </w:instrText>
    </w:r>
    <w:r w:rsidRPr="006E0FE1">
      <w:rPr>
        <w:rStyle w:val="Numeropagina"/>
        <w:sz w:val="23"/>
        <w:szCs w:val="23"/>
      </w:rPr>
      <w:fldChar w:fldCharType="end"/>
    </w:r>
  </w:p>
  <w:p w14:paraId="2B47EDB4" w14:textId="77777777" w:rsidR="006A0ADA" w:rsidRPr="006E0FE1" w:rsidRDefault="006A0ADA">
    <w:pPr>
      <w:pStyle w:val="Pidipagina"/>
      <w:ind w:right="360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EB6E5" w14:textId="77777777" w:rsidR="006A0ADA" w:rsidRPr="006E0FE1" w:rsidRDefault="00710C35">
    <w:pPr>
      <w:pStyle w:val="Pidipagina"/>
      <w:framePr w:wrap="around" w:vAnchor="text" w:hAnchor="margin" w:xAlign="right" w:y="1"/>
      <w:rPr>
        <w:rStyle w:val="Numeropagina"/>
        <w:sz w:val="23"/>
        <w:szCs w:val="23"/>
      </w:rPr>
    </w:pPr>
    <w:r w:rsidRPr="006E0FE1">
      <w:rPr>
        <w:rStyle w:val="Numeropagina"/>
        <w:sz w:val="23"/>
        <w:szCs w:val="23"/>
      </w:rPr>
      <w:fldChar w:fldCharType="begin"/>
    </w:r>
    <w:r w:rsidR="006A0ADA" w:rsidRPr="006E0FE1">
      <w:rPr>
        <w:rStyle w:val="Numeropagina"/>
        <w:sz w:val="23"/>
        <w:szCs w:val="23"/>
      </w:rPr>
      <w:instrText xml:space="preserve">PAGE  </w:instrText>
    </w:r>
    <w:r w:rsidRPr="006E0FE1">
      <w:rPr>
        <w:rStyle w:val="Numeropagina"/>
        <w:sz w:val="23"/>
        <w:szCs w:val="23"/>
      </w:rPr>
      <w:fldChar w:fldCharType="separate"/>
    </w:r>
    <w:r w:rsidR="00627F03">
      <w:rPr>
        <w:rStyle w:val="Numeropagina"/>
        <w:noProof/>
        <w:sz w:val="23"/>
        <w:szCs w:val="23"/>
      </w:rPr>
      <w:t>2</w:t>
    </w:r>
    <w:r w:rsidRPr="006E0FE1">
      <w:rPr>
        <w:rStyle w:val="Numeropagina"/>
        <w:sz w:val="23"/>
        <w:szCs w:val="23"/>
      </w:rPr>
      <w:fldChar w:fldCharType="end"/>
    </w:r>
  </w:p>
  <w:p w14:paraId="57BB564B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48EA5E27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622ACF04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  <w:r w:rsidRPr="006E0FE1">
      <w:rPr>
        <w:rFonts w:ascii="Century" w:hAnsi="Century"/>
        <w:b/>
        <w:bCs/>
        <w:i/>
        <w:iCs/>
        <w:sz w:val="19"/>
        <w:szCs w:val="19"/>
      </w:rPr>
      <w:t xml:space="preserve">116    </w:t>
    </w:r>
    <w:proofErr w:type="gramStart"/>
    <w:r w:rsidRPr="006E0FE1">
      <w:rPr>
        <w:rFonts w:ascii="Century" w:hAnsi="Century"/>
        <w:b/>
        <w:bCs/>
        <w:i/>
        <w:iCs/>
        <w:sz w:val="19"/>
        <w:szCs w:val="19"/>
      </w:rPr>
      <w:t>Via  Marconi</w:t>
    </w:r>
    <w:proofErr w:type="gramEnd"/>
    <w:r w:rsidRPr="006E0FE1">
      <w:rPr>
        <w:rFonts w:ascii="Century" w:hAnsi="Century"/>
        <w:b/>
        <w:bCs/>
        <w:i/>
        <w:iCs/>
        <w:sz w:val="19"/>
        <w:szCs w:val="19"/>
      </w:rPr>
      <w:t xml:space="preserve">    -    89044    Locri </w:t>
    </w:r>
    <w:proofErr w:type="gramStart"/>
    <w:r w:rsidRPr="006E0FE1">
      <w:rPr>
        <w:rFonts w:ascii="Century" w:hAnsi="Century"/>
        <w:b/>
        <w:bCs/>
        <w:i/>
        <w:iCs/>
        <w:sz w:val="19"/>
        <w:szCs w:val="19"/>
      </w:rPr>
      <w:t xml:space="preserve">   (</w:t>
    </w:r>
    <w:proofErr w:type="gramEnd"/>
    <w:r w:rsidRPr="006E0FE1">
      <w:rPr>
        <w:rFonts w:ascii="Century" w:hAnsi="Century"/>
        <w:b/>
        <w:bCs/>
        <w:i/>
        <w:iCs/>
        <w:sz w:val="19"/>
        <w:szCs w:val="19"/>
      </w:rPr>
      <w:t>RC)</w:t>
    </w:r>
  </w:p>
  <w:p w14:paraId="1F54A5EB" w14:textId="77777777" w:rsidR="006A0ADA" w:rsidRPr="006E0FE1" w:rsidRDefault="006A0ADA">
    <w:pPr>
      <w:pStyle w:val="Pidipagina"/>
      <w:jc w:val="center"/>
      <w:rPr>
        <w:rFonts w:ascii="Century" w:hAnsi="Century"/>
        <w:b/>
        <w:bCs/>
        <w:i/>
        <w:iCs/>
        <w:sz w:val="23"/>
        <w:szCs w:val="23"/>
      </w:rPr>
    </w:pPr>
    <w:r w:rsidRPr="006E0FE1">
      <w:rPr>
        <w:rFonts w:ascii="Century" w:hAnsi="Century"/>
        <w:b/>
        <w:bCs/>
        <w:i/>
        <w:iCs/>
        <w:sz w:val="19"/>
        <w:szCs w:val="19"/>
      </w:rPr>
      <w:t>Tel.    0964   21530    Fax   0964   22151    e-mail   belcastro@epizefiri.it</w:t>
    </w:r>
  </w:p>
  <w:p w14:paraId="0D6DFD91" w14:textId="77777777" w:rsidR="006A0ADA" w:rsidRPr="006E0FE1" w:rsidRDefault="006A0ADA">
    <w:pPr>
      <w:pStyle w:val="Pidipagina"/>
      <w:ind w:right="360"/>
      <w:rPr>
        <w:sz w:val="23"/>
        <w:szCs w:val="2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820E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19140A16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30D3ADE8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bCs/>
        <w:i/>
        <w:iCs/>
        <w:sz w:val="19"/>
        <w:szCs w:val="19"/>
      </w:rPr>
    </w:pPr>
  </w:p>
  <w:p w14:paraId="43C374CC" w14:textId="77777777" w:rsidR="006A0ADA" w:rsidRPr="006E0FE1" w:rsidRDefault="006A0ADA" w:rsidP="006A0ADA">
    <w:pPr>
      <w:pStyle w:val="Pidipagina"/>
      <w:jc w:val="center"/>
      <w:rPr>
        <w:rFonts w:ascii="Century" w:hAnsi="Century"/>
        <w:b/>
        <w:i/>
        <w:sz w:val="19"/>
        <w:szCs w:val="19"/>
      </w:rPr>
    </w:pPr>
    <w:r w:rsidRPr="006E0FE1">
      <w:rPr>
        <w:rFonts w:ascii="Century" w:hAnsi="Century"/>
        <w:b/>
        <w:i/>
        <w:sz w:val="19"/>
        <w:szCs w:val="19"/>
      </w:rPr>
      <w:t xml:space="preserve">116    </w:t>
    </w:r>
    <w:proofErr w:type="gramStart"/>
    <w:r w:rsidRPr="006E0FE1">
      <w:rPr>
        <w:rFonts w:ascii="Century" w:hAnsi="Century"/>
        <w:b/>
        <w:i/>
        <w:sz w:val="19"/>
        <w:szCs w:val="19"/>
      </w:rPr>
      <w:t>Via  Marconi</w:t>
    </w:r>
    <w:proofErr w:type="gramEnd"/>
    <w:r w:rsidRPr="006E0FE1">
      <w:rPr>
        <w:rFonts w:ascii="Century" w:hAnsi="Century"/>
        <w:b/>
        <w:i/>
        <w:sz w:val="19"/>
        <w:szCs w:val="19"/>
      </w:rPr>
      <w:t xml:space="preserve">    -    89044    Locri </w:t>
    </w:r>
    <w:proofErr w:type="gramStart"/>
    <w:r w:rsidRPr="006E0FE1">
      <w:rPr>
        <w:rFonts w:ascii="Century" w:hAnsi="Century"/>
        <w:b/>
        <w:i/>
        <w:sz w:val="19"/>
        <w:szCs w:val="19"/>
      </w:rPr>
      <w:t xml:space="preserve">   (RC)   </w:t>
    </w:r>
    <w:proofErr w:type="gramEnd"/>
    <w:r w:rsidRPr="006E0FE1">
      <w:rPr>
        <w:rFonts w:ascii="Century" w:hAnsi="Century"/>
        <w:b/>
        <w:i/>
        <w:sz w:val="19"/>
        <w:szCs w:val="19"/>
      </w:rPr>
      <w:t xml:space="preserve">   -     Tel.    0964   21530    Fax   0964   22151    </w:t>
    </w:r>
  </w:p>
  <w:p w14:paraId="3C6495F1" w14:textId="77777777" w:rsidR="006A0ADA" w:rsidRPr="006E0FE1" w:rsidRDefault="006A0ADA" w:rsidP="006A0ADA">
    <w:pPr>
      <w:pStyle w:val="Corpotesto"/>
      <w:jc w:val="center"/>
      <w:rPr>
        <w:sz w:val="19"/>
        <w:szCs w:val="19"/>
      </w:rPr>
    </w:pPr>
    <w:r w:rsidRPr="006E0FE1">
      <w:rPr>
        <w:sz w:val="19"/>
        <w:szCs w:val="19"/>
      </w:rPr>
      <w:t xml:space="preserve">e-mail </w:t>
    </w:r>
    <w:hyperlink r:id="rId1" w:history="1">
      <w:r w:rsidRPr="006E0FE1">
        <w:rPr>
          <w:rStyle w:val="Collegamentoipertestuale"/>
          <w:sz w:val="19"/>
          <w:szCs w:val="19"/>
        </w:rPr>
        <w:t>claudio.belcastro@studiobelcastro.it</w:t>
      </w:r>
    </w:hyperlink>
    <w:r w:rsidRPr="006E0FE1">
      <w:rPr>
        <w:sz w:val="19"/>
        <w:szCs w:val="19"/>
      </w:rPr>
      <w:t xml:space="preserve"> - web </w:t>
    </w:r>
    <w:hyperlink r:id="rId2" w:history="1">
      <w:r w:rsidRPr="006E0FE1">
        <w:rPr>
          <w:rStyle w:val="Collegamentoipertestuale"/>
          <w:sz w:val="19"/>
          <w:szCs w:val="19"/>
        </w:rPr>
        <w:t>www.studiobelcastro.it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08F5A" w14:textId="77777777" w:rsidR="00265818" w:rsidRDefault="00265818" w:rsidP="00A32F6D">
      <w:r>
        <w:separator/>
      </w:r>
    </w:p>
  </w:footnote>
  <w:footnote w:type="continuationSeparator" w:id="0">
    <w:p w14:paraId="6CBC3161" w14:textId="77777777" w:rsidR="00265818" w:rsidRDefault="00265818" w:rsidP="00A3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747A" w14:textId="77777777" w:rsidR="006A0ADA" w:rsidRPr="006E0FE1" w:rsidRDefault="006A0ADA">
    <w:pPr>
      <w:pStyle w:val="Intestazione"/>
      <w:jc w:val="center"/>
      <w:rPr>
        <w:rFonts w:ascii="Century" w:hAnsi="Century"/>
        <w:b/>
        <w:bCs/>
        <w:i/>
        <w:iCs/>
        <w:sz w:val="31"/>
        <w:szCs w:val="31"/>
      </w:rPr>
    </w:pPr>
    <w:r w:rsidRPr="006E0FE1">
      <w:rPr>
        <w:rFonts w:ascii="Century" w:hAnsi="Century"/>
        <w:b/>
        <w:bCs/>
        <w:i/>
        <w:iCs/>
        <w:sz w:val="27"/>
        <w:szCs w:val="27"/>
      </w:rPr>
      <w:t>STUDIO BELCASTRO</w:t>
    </w:r>
  </w:p>
  <w:p w14:paraId="3F173899" w14:textId="77777777" w:rsidR="006A0ADA" w:rsidRPr="006E0FE1" w:rsidRDefault="006A0ADA">
    <w:pPr>
      <w:pStyle w:val="Intestazione"/>
      <w:jc w:val="center"/>
      <w:rPr>
        <w:rFonts w:ascii="Century" w:hAnsi="Century"/>
        <w:b/>
        <w:bCs/>
        <w:i/>
        <w:iCs/>
        <w:sz w:val="42"/>
        <w:szCs w:val="4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79F8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6F45FD8"/>
    <w:multiLevelType w:val="multilevel"/>
    <w:tmpl w:val="56D6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F7240C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E283DBC"/>
    <w:multiLevelType w:val="hybridMultilevel"/>
    <w:tmpl w:val="ECBC7386"/>
    <w:lvl w:ilvl="0" w:tplc="75F470E2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660AD"/>
    <w:multiLevelType w:val="multilevel"/>
    <w:tmpl w:val="45C2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C44B14"/>
    <w:multiLevelType w:val="multilevel"/>
    <w:tmpl w:val="F29E3F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873A9"/>
    <w:multiLevelType w:val="hybridMultilevel"/>
    <w:tmpl w:val="E7204F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982F8F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5CE105D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2E0E19F9"/>
    <w:multiLevelType w:val="hybridMultilevel"/>
    <w:tmpl w:val="34A89F64"/>
    <w:lvl w:ilvl="0" w:tplc="83421DE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5B35E68"/>
    <w:multiLevelType w:val="hybridMultilevel"/>
    <w:tmpl w:val="507AD78A"/>
    <w:lvl w:ilvl="0" w:tplc="C986CF4C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4D3131"/>
    <w:multiLevelType w:val="hybridMultilevel"/>
    <w:tmpl w:val="2D6ABF36"/>
    <w:lvl w:ilvl="0" w:tplc="B4CED252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64749"/>
    <w:multiLevelType w:val="hybridMultilevel"/>
    <w:tmpl w:val="E6B0B2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908EC"/>
    <w:multiLevelType w:val="hybridMultilevel"/>
    <w:tmpl w:val="0908F21E"/>
    <w:lvl w:ilvl="0" w:tplc="75FA7884">
      <w:start w:val="3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DA4677"/>
    <w:multiLevelType w:val="hybridMultilevel"/>
    <w:tmpl w:val="5C3CFBF6"/>
    <w:lvl w:ilvl="0" w:tplc="093E04EE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A54443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518651B6"/>
    <w:multiLevelType w:val="multilevel"/>
    <w:tmpl w:val="EF66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36175F6"/>
    <w:multiLevelType w:val="multilevel"/>
    <w:tmpl w:val="3E7A356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5784267C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60D21B60"/>
    <w:multiLevelType w:val="hybridMultilevel"/>
    <w:tmpl w:val="81AE8CAE"/>
    <w:lvl w:ilvl="0" w:tplc="F29E3700">
      <w:start w:val="3"/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65610E"/>
    <w:multiLevelType w:val="multilevel"/>
    <w:tmpl w:val="6A7C8CD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786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752C69B3"/>
    <w:multiLevelType w:val="multilevel"/>
    <w:tmpl w:val="954AC56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799A4D3B"/>
    <w:multiLevelType w:val="hybridMultilevel"/>
    <w:tmpl w:val="1AC69A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F83C5E"/>
    <w:multiLevelType w:val="hybridMultilevel"/>
    <w:tmpl w:val="C07E21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667244">
    <w:abstractNumId w:val="9"/>
  </w:num>
  <w:num w:numId="2" w16cid:durableId="662272964">
    <w:abstractNumId w:val="17"/>
  </w:num>
  <w:num w:numId="3" w16cid:durableId="353776043">
    <w:abstractNumId w:val="21"/>
  </w:num>
  <w:num w:numId="4" w16cid:durableId="1616669055">
    <w:abstractNumId w:val="7"/>
  </w:num>
  <w:num w:numId="5" w16cid:durableId="1844130009">
    <w:abstractNumId w:val="6"/>
  </w:num>
  <w:num w:numId="6" w16cid:durableId="2116631285">
    <w:abstractNumId w:val="13"/>
  </w:num>
  <w:num w:numId="7" w16cid:durableId="1462921736">
    <w:abstractNumId w:val="22"/>
  </w:num>
  <w:num w:numId="8" w16cid:durableId="95254443">
    <w:abstractNumId w:val="12"/>
  </w:num>
  <w:num w:numId="9" w16cid:durableId="272784366">
    <w:abstractNumId w:val="15"/>
  </w:num>
  <w:num w:numId="10" w16cid:durableId="551423960">
    <w:abstractNumId w:val="8"/>
  </w:num>
  <w:num w:numId="11" w16cid:durableId="1853564208">
    <w:abstractNumId w:val="0"/>
  </w:num>
  <w:num w:numId="12" w16cid:durableId="800532907">
    <w:abstractNumId w:val="2"/>
  </w:num>
  <w:num w:numId="13" w16cid:durableId="463816025">
    <w:abstractNumId w:val="18"/>
  </w:num>
  <w:num w:numId="14" w16cid:durableId="2102797573">
    <w:abstractNumId w:val="20"/>
  </w:num>
  <w:num w:numId="15" w16cid:durableId="1331981394">
    <w:abstractNumId w:val="23"/>
  </w:num>
  <w:num w:numId="16" w16cid:durableId="261425994">
    <w:abstractNumId w:val="3"/>
  </w:num>
  <w:num w:numId="17" w16cid:durableId="687219582">
    <w:abstractNumId w:val="11"/>
  </w:num>
  <w:num w:numId="18" w16cid:durableId="425343916">
    <w:abstractNumId w:val="19"/>
  </w:num>
  <w:num w:numId="19" w16cid:durableId="521167879">
    <w:abstractNumId w:val="1"/>
  </w:num>
  <w:num w:numId="20" w16cid:durableId="73018300">
    <w:abstractNumId w:val="14"/>
  </w:num>
  <w:num w:numId="21" w16cid:durableId="1147672760">
    <w:abstractNumId w:val="16"/>
  </w:num>
  <w:num w:numId="22" w16cid:durableId="616722941">
    <w:abstractNumId w:val="4"/>
  </w:num>
  <w:num w:numId="23" w16cid:durableId="1197768387">
    <w:abstractNumId w:val="10"/>
  </w:num>
  <w:num w:numId="24" w16cid:durableId="3293321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0FE1"/>
    <w:rsid w:val="000041B0"/>
    <w:rsid w:val="00265818"/>
    <w:rsid w:val="002B2E80"/>
    <w:rsid w:val="002B4DD3"/>
    <w:rsid w:val="003556F9"/>
    <w:rsid w:val="0037360F"/>
    <w:rsid w:val="00394758"/>
    <w:rsid w:val="00462257"/>
    <w:rsid w:val="00503BB1"/>
    <w:rsid w:val="00534569"/>
    <w:rsid w:val="0054469D"/>
    <w:rsid w:val="005D1430"/>
    <w:rsid w:val="00627F03"/>
    <w:rsid w:val="00637D2C"/>
    <w:rsid w:val="00695650"/>
    <w:rsid w:val="006A0ADA"/>
    <w:rsid w:val="006A41A2"/>
    <w:rsid w:val="006E0FE1"/>
    <w:rsid w:val="006F7B3E"/>
    <w:rsid w:val="00710C35"/>
    <w:rsid w:val="00710D33"/>
    <w:rsid w:val="007279FD"/>
    <w:rsid w:val="00746C16"/>
    <w:rsid w:val="007605B6"/>
    <w:rsid w:val="007760E9"/>
    <w:rsid w:val="0084412C"/>
    <w:rsid w:val="00864620"/>
    <w:rsid w:val="008E38AF"/>
    <w:rsid w:val="00913301"/>
    <w:rsid w:val="009C4667"/>
    <w:rsid w:val="00A250B0"/>
    <w:rsid w:val="00A32F6D"/>
    <w:rsid w:val="00A7742F"/>
    <w:rsid w:val="00B47718"/>
    <w:rsid w:val="00B827D3"/>
    <w:rsid w:val="00B93C06"/>
    <w:rsid w:val="00BA3538"/>
    <w:rsid w:val="00BB12F6"/>
    <w:rsid w:val="00C46AF2"/>
    <w:rsid w:val="00CB1497"/>
    <w:rsid w:val="00CC35B9"/>
    <w:rsid w:val="00DF5BE5"/>
    <w:rsid w:val="00DF6D65"/>
    <w:rsid w:val="00E2323C"/>
    <w:rsid w:val="00EE27B3"/>
    <w:rsid w:val="00F24E1A"/>
    <w:rsid w:val="00F84834"/>
    <w:rsid w:val="00FB0ADB"/>
    <w:rsid w:val="00FD4C19"/>
    <w:rsid w:val="00FE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EC67A"/>
  <w15:docId w15:val="{98EBD263-6EC8-4EA1-A020-DFFDE69C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0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E0FE1"/>
    <w:pPr>
      <w:keepNext/>
      <w:outlineLvl w:val="1"/>
    </w:pPr>
    <w:rPr>
      <w:rFonts w:ascii="Century" w:hAnsi="Century"/>
      <w:b/>
      <w:bCs/>
      <w:i/>
      <w:iCs/>
      <w:sz w:val="36"/>
    </w:rPr>
  </w:style>
  <w:style w:type="paragraph" w:styleId="Titolo3">
    <w:name w:val="heading 3"/>
    <w:basedOn w:val="Normale"/>
    <w:next w:val="Normale"/>
    <w:link w:val="Titolo3Carattere"/>
    <w:qFormat/>
    <w:rsid w:val="006E0FE1"/>
    <w:pPr>
      <w:keepNext/>
      <w:outlineLvl w:val="2"/>
    </w:pPr>
    <w:rPr>
      <w:rFonts w:ascii="Century" w:hAnsi="Century"/>
      <w:b/>
      <w:bCs/>
      <w:i/>
      <w:iCs/>
    </w:rPr>
  </w:style>
  <w:style w:type="paragraph" w:styleId="Titolo4">
    <w:name w:val="heading 4"/>
    <w:basedOn w:val="Normale"/>
    <w:next w:val="Normale"/>
    <w:link w:val="Titolo4Carattere"/>
    <w:qFormat/>
    <w:rsid w:val="006E0FE1"/>
    <w:pPr>
      <w:keepNext/>
      <w:outlineLvl w:val="3"/>
    </w:pPr>
    <w:rPr>
      <w:rFonts w:ascii="Century" w:hAnsi="Century"/>
      <w:b/>
      <w:bCs/>
      <w:i/>
      <w:iCs/>
      <w:sz w:val="20"/>
    </w:rPr>
  </w:style>
  <w:style w:type="paragraph" w:styleId="Titolo5">
    <w:name w:val="heading 5"/>
    <w:basedOn w:val="Normale"/>
    <w:next w:val="Normale"/>
    <w:link w:val="Titolo5Carattere"/>
    <w:qFormat/>
    <w:rsid w:val="006E0FE1"/>
    <w:pPr>
      <w:keepNext/>
      <w:outlineLvl w:val="4"/>
    </w:pPr>
    <w:rPr>
      <w:rFonts w:ascii="Century" w:hAnsi="Century"/>
      <w:b/>
      <w:bCs/>
      <w:i/>
      <w:iCs/>
      <w:sz w:val="18"/>
    </w:rPr>
  </w:style>
  <w:style w:type="paragraph" w:styleId="Titolo7">
    <w:name w:val="heading 7"/>
    <w:basedOn w:val="Normale"/>
    <w:next w:val="Normale"/>
    <w:link w:val="Titolo7Carattere"/>
    <w:qFormat/>
    <w:rsid w:val="006E0FE1"/>
    <w:pPr>
      <w:keepNext/>
      <w:jc w:val="both"/>
      <w:outlineLvl w:val="6"/>
    </w:pPr>
    <w:rPr>
      <w:rFonts w:ascii="Century" w:hAnsi="Century"/>
      <w:b/>
      <w:bCs/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E0FE1"/>
    <w:rPr>
      <w:rFonts w:ascii="Century" w:eastAsia="Times New Roman" w:hAnsi="Century" w:cs="Times New Roman"/>
      <w:b/>
      <w:bCs/>
      <w:i/>
      <w:iCs/>
      <w:sz w:val="36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E0FE1"/>
    <w:rPr>
      <w:rFonts w:ascii="Century" w:eastAsia="Times New Roman" w:hAnsi="Century" w:cs="Times New Roman"/>
      <w:b/>
      <w:bCs/>
      <w:i/>
      <w:iCs/>
      <w:sz w:val="20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E0FE1"/>
    <w:rPr>
      <w:rFonts w:ascii="Century" w:eastAsia="Times New Roman" w:hAnsi="Century" w:cs="Times New Roman"/>
      <w:b/>
      <w:bCs/>
      <w:i/>
      <w:iCs/>
      <w:sz w:val="18"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6E0FE1"/>
    <w:rPr>
      <w:rFonts w:ascii="Century" w:hAnsi="Century"/>
      <w:b/>
      <w:bCs/>
      <w:i/>
      <w:iCs/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6E0FE1"/>
    <w:rPr>
      <w:rFonts w:ascii="Century" w:eastAsia="Times New Roman" w:hAnsi="Century" w:cs="Times New Roman"/>
      <w:b/>
      <w:bCs/>
      <w:i/>
      <w:iCs/>
      <w:sz w:val="20"/>
      <w:szCs w:val="24"/>
      <w:lang w:eastAsia="it-IT"/>
    </w:rPr>
  </w:style>
  <w:style w:type="character" w:styleId="Collegamentoipertestuale">
    <w:name w:val="Hyperlink"/>
    <w:basedOn w:val="Carpredefinitoparagrafo"/>
    <w:rsid w:val="006E0FE1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6E0F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E0FE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6E0FE1"/>
  </w:style>
  <w:style w:type="paragraph" w:styleId="Intestazione">
    <w:name w:val="header"/>
    <w:basedOn w:val="Normale"/>
    <w:link w:val="IntestazioneCarattere"/>
    <w:rsid w:val="006E0F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E0FE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6E0FE1"/>
    <w:pPr>
      <w:jc w:val="both"/>
    </w:pPr>
    <w:rPr>
      <w:rFonts w:ascii="Century" w:hAnsi="Century"/>
      <w:b/>
      <w:bCs/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rsid w:val="006E0FE1"/>
    <w:rPr>
      <w:rFonts w:ascii="Century" w:eastAsia="Times New Roman" w:hAnsi="Century" w:cs="Times New Roman"/>
      <w:b/>
      <w:bCs/>
      <w:i/>
      <w:i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0FE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0FE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6A41A2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864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nica.com.ai/articolo/108678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nica.com.ai/articolo/2124072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diobelcastro.it" TargetMode="External"/><Relationship Id="rId1" Type="http://schemas.openxmlformats.org/officeDocument/2006/relationships/hyperlink" Target="mailto:claudio.belcastro@studiobelcast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Nodo5</cp:lastModifiedBy>
  <cp:revision>28</cp:revision>
  <cp:lastPrinted>2018-01-16T09:21:00Z</cp:lastPrinted>
  <dcterms:created xsi:type="dcterms:W3CDTF">2017-01-17T14:20:00Z</dcterms:created>
  <dcterms:modified xsi:type="dcterms:W3CDTF">2026-09-23T15:05:00Z</dcterms:modified>
</cp:coreProperties>
</file>