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5142A" w14:textId="2352B119" w:rsidR="006E0FE1" w:rsidRPr="006E0FE1" w:rsidRDefault="006E0FE1" w:rsidP="002B4DD3">
      <w:pPr>
        <w:pStyle w:val="Titolo2"/>
        <w:jc w:val="center"/>
        <w:rPr>
          <w:b w:val="0"/>
          <w:bCs w:val="0"/>
          <w:i w:val="0"/>
          <w:iCs w:val="0"/>
          <w:sz w:val="23"/>
          <w:szCs w:val="23"/>
        </w:rPr>
      </w:pPr>
      <w:r w:rsidRPr="006E0FE1">
        <w:rPr>
          <w:sz w:val="42"/>
          <w:szCs w:val="42"/>
        </w:rPr>
        <w:t>STUDIO</w:t>
      </w:r>
      <w:r w:rsidRPr="006E0FE1">
        <w:rPr>
          <w:sz w:val="46"/>
          <w:szCs w:val="46"/>
        </w:rPr>
        <w:t xml:space="preserve">   </w:t>
      </w:r>
      <w:r w:rsidRPr="006E0FE1">
        <w:rPr>
          <w:sz w:val="42"/>
          <w:szCs w:val="42"/>
        </w:rPr>
        <w:t>BELCASTRO</w:t>
      </w:r>
    </w:p>
    <w:p w14:paraId="71037DB3" w14:textId="77777777" w:rsidR="006E0FE1" w:rsidRPr="006E0FE1" w:rsidRDefault="006E0FE1" w:rsidP="006E0FE1">
      <w:pPr>
        <w:pStyle w:val="Titolo3"/>
        <w:rPr>
          <w:sz w:val="23"/>
          <w:szCs w:val="23"/>
        </w:rPr>
      </w:pPr>
      <w:r w:rsidRPr="006E0FE1">
        <w:rPr>
          <w:sz w:val="23"/>
          <w:szCs w:val="23"/>
        </w:rPr>
        <w:t>Dott. Claudio Belcastro</w:t>
      </w:r>
    </w:p>
    <w:p w14:paraId="2DFA3257" w14:textId="77777777" w:rsidR="006E0FE1" w:rsidRPr="006E0FE1" w:rsidRDefault="006E0FE1" w:rsidP="006E0FE1">
      <w:pPr>
        <w:pStyle w:val="Titolo4"/>
        <w:rPr>
          <w:sz w:val="15"/>
          <w:szCs w:val="15"/>
        </w:rPr>
      </w:pPr>
      <w:r w:rsidRPr="006E0FE1">
        <w:rPr>
          <w:sz w:val="15"/>
          <w:szCs w:val="15"/>
        </w:rPr>
        <w:t>Dott. Sergio Policheni</w:t>
      </w:r>
    </w:p>
    <w:p w14:paraId="726A0640" w14:textId="77777777" w:rsidR="006E0FE1" w:rsidRPr="006E0FE1" w:rsidRDefault="006E0FE1" w:rsidP="006E0FE1">
      <w:pPr>
        <w:pStyle w:val="Titolo4"/>
        <w:rPr>
          <w:sz w:val="15"/>
          <w:szCs w:val="15"/>
        </w:rPr>
      </w:pPr>
      <w:r w:rsidRPr="006E0FE1">
        <w:rPr>
          <w:sz w:val="15"/>
          <w:szCs w:val="15"/>
        </w:rPr>
        <w:t>Dott. Antonio Albanese</w:t>
      </w:r>
    </w:p>
    <w:p w14:paraId="687EAC80" w14:textId="77777777" w:rsidR="006E0FE1" w:rsidRPr="006E0FE1" w:rsidRDefault="006E0FE1" w:rsidP="006E0FE1">
      <w:pPr>
        <w:pStyle w:val="Titolo4"/>
        <w:rPr>
          <w:sz w:val="15"/>
          <w:szCs w:val="15"/>
        </w:rPr>
      </w:pPr>
      <w:r w:rsidRPr="006E0FE1">
        <w:rPr>
          <w:sz w:val="15"/>
          <w:szCs w:val="15"/>
        </w:rPr>
        <w:t>Dott. Emanuela Candido</w:t>
      </w:r>
    </w:p>
    <w:p w14:paraId="5EAC9007" w14:textId="77777777" w:rsidR="006E0FE1" w:rsidRPr="006E0FE1" w:rsidRDefault="006E0FE1" w:rsidP="006E0FE1">
      <w:pPr>
        <w:pStyle w:val="Titolo4"/>
        <w:rPr>
          <w:sz w:val="15"/>
          <w:szCs w:val="15"/>
        </w:rPr>
      </w:pPr>
      <w:r w:rsidRPr="006E0FE1">
        <w:rPr>
          <w:sz w:val="15"/>
          <w:szCs w:val="15"/>
        </w:rPr>
        <w:t>Rag. Maria Teresa Cimarosa</w:t>
      </w:r>
    </w:p>
    <w:p w14:paraId="1D1E3B1B" w14:textId="77777777" w:rsidR="006E0FE1" w:rsidRPr="006E0FE1" w:rsidRDefault="006E0FE1" w:rsidP="006E0FE1">
      <w:pPr>
        <w:pStyle w:val="Titolo4"/>
        <w:rPr>
          <w:sz w:val="15"/>
          <w:szCs w:val="15"/>
        </w:rPr>
      </w:pPr>
      <w:r w:rsidRPr="006E0FE1">
        <w:rPr>
          <w:sz w:val="15"/>
          <w:szCs w:val="15"/>
        </w:rPr>
        <w:t>Dott. Saverio Leotta</w:t>
      </w:r>
    </w:p>
    <w:p w14:paraId="2BCE3721" w14:textId="77777777" w:rsidR="006E0FE1" w:rsidRPr="006E0FE1" w:rsidRDefault="006E0FE1" w:rsidP="006E0FE1">
      <w:pPr>
        <w:pStyle w:val="Titolo4"/>
        <w:rPr>
          <w:sz w:val="15"/>
          <w:szCs w:val="15"/>
        </w:rPr>
      </w:pPr>
      <w:r w:rsidRPr="006E0FE1">
        <w:rPr>
          <w:sz w:val="15"/>
          <w:szCs w:val="15"/>
        </w:rPr>
        <w:t>Dott. Cristina Pelle</w:t>
      </w:r>
    </w:p>
    <w:p w14:paraId="2125A8EF" w14:textId="77777777" w:rsidR="006E0FE1" w:rsidRPr="006E0FE1" w:rsidRDefault="006E0FE1" w:rsidP="006E0FE1">
      <w:pPr>
        <w:pStyle w:val="Titolo4"/>
        <w:rPr>
          <w:sz w:val="15"/>
          <w:szCs w:val="15"/>
        </w:rPr>
      </w:pPr>
      <w:r w:rsidRPr="006E0FE1">
        <w:rPr>
          <w:sz w:val="15"/>
          <w:szCs w:val="15"/>
        </w:rPr>
        <w:t>Rag. Caterina Piccolo</w:t>
      </w:r>
    </w:p>
    <w:p w14:paraId="3CCE984A" w14:textId="77777777" w:rsidR="006E0FE1" w:rsidRPr="006E0FE1" w:rsidRDefault="006E0FE1" w:rsidP="006E0FE1">
      <w:pPr>
        <w:pStyle w:val="Titolo4"/>
        <w:rPr>
          <w:sz w:val="15"/>
          <w:szCs w:val="15"/>
        </w:rPr>
      </w:pPr>
      <w:r w:rsidRPr="006E0FE1">
        <w:rPr>
          <w:sz w:val="15"/>
          <w:szCs w:val="15"/>
        </w:rPr>
        <w:t>Rag. Santina Sansotta</w:t>
      </w:r>
    </w:p>
    <w:p w14:paraId="5CB522F3" w14:textId="77777777" w:rsidR="006E0FE1" w:rsidRPr="006E0FE1" w:rsidRDefault="006E0FE1" w:rsidP="006E0FE1">
      <w:pPr>
        <w:pStyle w:val="Titolo4"/>
        <w:rPr>
          <w:sz w:val="19"/>
          <w:szCs w:val="19"/>
        </w:rPr>
      </w:pPr>
    </w:p>
    <w:p w14:paraId="2C0ABCD7" w14:textId="77777777" w:rsidR="006E0FE1" w:rsidRPr="006E0FE1" w:rsidRDefault="006E0FE1" w:rsidP="006E0FE1">
      <w:pPr>
        <w:pStyle w:val="Titolo5"/>
        <w:rPr>
          <w:sz w:val="23"/>
          <w:szCs w:val="23"/>
        </w:rPr>
      </w:pPr>
      <w:r w:rsidRPr="006E0FE1">
        <w:rPr>
          <w:sz w:val="23"/>
          <w:szCs w:val="23"/>
        </w:rPr>
        <w:t xml:space="preserve">Dott. Claudio Belcastro                                                         </w:t>
      </w:r>
    </w:p>
    <w:p w14:paraId="32FB418C" w14:textId="77777777" w:rsidR="006E0FE1" w:rsidRPr="006E0FE1" w:rsidRDefault="006E0FE1" w:rsidP="006E0FE1">
      <w:pPr>
        <w:pStyle w:val="Titolo5"/>
        <w:rPr>
          <w:sz w:val="15"/>
          <w:szCs w:val="15"/>
        </w:rPr>
      </w:pPr>
      <w:r w:rsidRPr="006E0FE1">
        <w:rPr>
          <w:sz w:val="15"/>
          <w:szCs w:val="15"/>
        </w:rPr>
        <w:t>Dottore Commercialista – Revisore Contabile</w:t>
      </w:r>
    </w:p>
    <w:p w14:paraId="6C0E6F99" w14:textId="77777777" w:rsidR="006E0FE1" w:rsidRPr="006E0FE1" w:rsidRDefault="006E0FE1" w:rsidP="006E0FE1">
      <w:pPr>
        <w:pStyle w:val="Titolo5"/>
        <w:rPr>
          <w:bCs w:val="0"/>
          <w:iCs w:val="0"/>
          <w:sz w:val="15"/>
          <w:szCs w:val="15"/>
        </w:rPr>
      </w:pPr>
      <w:r w:rsidRPr="006A0ADA">
        <w:rPr>
          <w:bCs w:val="0"/>
          <w:iCs w:val="0"/>
          <w:sz w:val="15"/>
          <w:szCs w:val="15"/>
        </w:rPr>
        <w:t>c.f. BLC CLD 55S14 D976</w:t>
      </w:r>
      <w:proofErr w:type="gramStart"/>
      <w:r w:rsidRPr="006A0ADA">
        <w:rPr>
          <w:bCs w:val="0"/>
          <w:iCs w:val="0"/>
          <w:sz w:val="15"/>
          <w:szCs w:val="15"/>
        </w:rPr>
        <w:t>H  -</w:t>
      </w:r>
      <w:proofErr w:type="gramEnd"/>
      <w:r w:rsidRPr="006A0ADA">
        <w:rPr>
          <w:bCs w:val="0"/>
          <w:iCs w:val="0"/>
          <w:sz w:val="15"/>
          <w:szCs w:val="15"/>
        </w:rPr>
        <w:t xml:space="preserve">  p.i.  </w:t>
      </w:r>
      <w:r w:rsidRPr="006E0FE1">
        <w:rPr>
          <w:bCs w:val="0"/>
          <w:iCs w:val="0"/>
          <w:sz w:val="15"/>
          <w:szCs w:val="15"/>
        </w:rPr>
        <w:t>00721660801</w:t>
      </w:r>
    </w:p>
    <w:p w14:paraId="5A073701" w14:textId="77777777" w:rsidR="006E0FE1" w:rsidRDefault="006E0FE1" w:rsidP="006E0FE1">
      <w:pPr>
        <w:rPr>
          <w:rFonts w:ascii="Century" w:hAnsi="Century"/>
          <w:b/>
          <w:bCs/>
          <w:i/>
          <w:iCs/>
        </w:rPr>
      </w:pPr>
    </w:p>
    <w:p w14:paraId="0865AB23" w14:textId="77777777" w:rsidR="00913301" w:rsidRDefault="00913301" w:rsidP="006E0FE1">
      <w:pPr>
        <w:rPr>
          <w:rFonts w:ascii="Century" w:hAnsi="Century"/>
          <w:b/>
          <w:bCs/>
          <w:i/>
          <w:iCs/>
        </w:rPr>
      </w:pPr>
    </w:p>
    <w:p w14:paraId="521F580D" w14:textId="13534AC6" w:rsidR="00EE27B3" w:rsidRPr="00EE27B3" w:rsidRDefault="00913301" w:rsidP="00EE27B3">
      <w:pPr>
        <w:rPr>
          <w:rFonts w:ascii="Century" w:hAnsi="Century"/>
          <w:b/>
          <w:bCs/>
          <w:i/>
          <w:iCs/>
        </w:rPr>
      </w:pPr>
      <w:r>
        <w:rPr>
          <w:rFonts w:ascii="Century" w:hAnsi="Century"/>
          <w:b/>
          <w:bCs/>
          <w:i/>
          <w:iCs/>
        </w:rPr>
        <w:t xml:space="preserve">Circolare Informativa </w:t>
      </w:r>
      <w:r w:rsidR="006A41A2">
        <w:rPr>
          <w:rFonts w:ascii="Century" w:hAnsi="Century"/>
          <w:b/>
          <w:bCs/>
          <w:i/>
          <w:iCs/>
        </w:rPr>
        <w:t>n. 0</w:t>
      </w:r>
      <w:r w:rsidR="00864620">
        <w:rPr>
          <w:rFonts w:ascii="Century" w:hAnsi="Century"/>
          <w:b/>
          <w:bCs/>
          <w:i/>
          <w:iCs/>
        </w:rPr>
        <w:t>3</w:t>
      </w:r>
      <w:r w:rsidR="006A41A2">
        <w:rPr>
          <w:rFonts w:ascii="Century" w:hAnsi="Century"/>
          <w:b/>
          <w:bCs/>
          <w:i/>
          <w:iCs/>
        </w:rPr>
        <w:t xml:space="preserve"> </w:t>
      </w:r>
      <w:r>
        <w:rPr>
          <w:rFonts w:ascii="Century" w:hAnsi="Century"/>
          <w:b/>
          <w:bCs/>
          <w:i/>
          <w:iCs/>
        </w:rPr>
        <w:t xml:space="preserve">del </w:t>
      </w:r>
      <w:r w:rsidR="00EE27B3" w:rsidRPr="00EE27B3">
        <w:rPr>
          <w:rFonts w:ascii="Century" w:hAnsi="Century"/>
          <w:b/>
          <w:bCs/>
          <w:i/>
          <w:iCs/>
        </w:rPr>
        <w:t>2</w:t>
      </w:r>
      <w:r w:rsidR="00864620">
        <w:rPr>
          <w:rFonts w:ascii="Century" w:hAnsi="Century"/>
          <w:b/>
          <w:bCs/>
          <w:i/>
          <w:iCs/>
        </w:rPr>
        <w:t>8</w:t>
      </w:r>
      <w:r w:rsidR="00EE27B3" w:rsidRPr="00EE27B3">
        <w:rPr>
          <w:rFonts w:ascii="Century" w:hAnsi="Century"/>
          <w:b/>
          <w:bCs/>
          <w:i/>
          <w:iCs/>
        </w:rPr>
        <w:t>/01/2026</w:t>
      </w:r>
    </w:p>
    <w:p w14:paraId="6800EA9A" w14:textId="77777777" w:rsidR="00EE27B3" w:rsidRDefault="00EE27B3" w:rsidP="00695650">
      <w:pPr>
        <w:rPr>
          <w:rFonts w:ascii="Century" w:hAnsi="Century"/>
          <w:b/>
          <w:bCs/>
          <w:i/>
          <w:iCs/>
        </w:rPr>
      </w:pPr>
    </w:p>
    <w:p w14:paraId="79DC2EB0" w14:textId="46A5F6FC" w:rsidR="00695650" w:rsidRDefault="006A41A2" w:rsidP="00695650">
      <w:pPr>
        <w:rPr>
          <w:rFonts w:ascii="Century" w:hAnsi="Century"/>
          <w:b/>
          <w:bCs/>
          <w:i/>
          <w:iCs/>
        </w:rPr>
      </w:pPr>
      <w:r>
        <w:rPr>
          <w:rFonts w:ascii="Century" w:hAnsi="Century"/>
          <w:b/>
          <w:bCs/>
          <w:i/>
          <w:iCs/>
        </w:rPr>
        <w:t>Indice Argomenti</w:t>
      </w:r>
      <w:r w:rsidR="006E0FE1" w:rsidRPr="002B4DD3">
        <w:rPr>
          <w:rFonts w:ascii="Century" w:hAnsi="Century"/>
          <w:b/>
          <w:bCs/>
          <w:i/>
          <w:iCs/>
        </w:rPr>
        <w:t xml:space="preserve">: </w:t>
      </w:r>
    </w:p>
    <w:p w14:paraId="215CC17B" w14:textId="77777777" w:rsidR="00EE27B3" w:rsidRPr="00EE27B3" w:rsidRDefault="00EE27B3" w:rsidP="00EE27B3">
      <w:pPr>
        <w:pStyle w:val="Corpodeltesto2"/>
        <w:ind w:left="720"/>
        <w:rPr>
          <w:lang w:val="it"/>
        </w:rPr>
      </w:pPr>
    </w:p>
    <w:p w14:paraId="4F71ACC8" w14:textId="6BC1F824" w:rsidR="00EE27B3" w:rsidRPr="00503BB1" w:rsidRDefault="00503BB1" w:rsidP="00503BB1">
      <w:pPr>
        <w:pStyle w:val="Corpodeltesto2"/>
        <w:numPr>
          <w:ilvl w:val="0"/>
          <w:numId w:val="20"/>
        </w:numPr>
        <w:rPr>
          <w:lang w:val="it"/>
        </w:rPr>
      </w:pPr>
      <w:r w:rsidRPr="00503BB1">
        <w:t>Primi chiarimenti su "rottamazione quinquies" (2)</w:t>
      </w:r>
    </w:p>
    <w:p w14:paraId="231C87A9" w14:textId="77777777" w:rsidR="00503BB1" w:rsidRDefault="00503BB1" w:rsidP="00503BB1">
      <w:pPr>
        <w:pStyle w:val="Corpodeltesto2"/>
      </w:pPr>
    </w:p>
    <w:p w14:paraId="3B018112" w14:textId="77777777" w:rsidR="00503BB1" w:rsidRPr="00503BB1" w:rsidRDefault="00503BB1" w:rsidP="00503BB1">
      <w:pPr>
        <w:pStyle w:val="Corpodeltesto2"/>
        <w:rPr>
          <w:u w:val="single"/>
        </w:rPr>
      </w:pPr>
      <w:r w:rsidRPr="00503BB1">
        <w:rPr>
          <w:u w:val="single"/>
        </w:rPr>
        <w:t>Approfondimenti rottamazione quinquies</w:t>
      </w:r>
    </w:p>
    <w:p w14:paraId="43C162B6" w14:textId="77777777" w:rsidR="00503BB1" w:rsidRPr="00503BB1" w:rsidRDefault="00503BB1" w:rsidP="00503BB1">
      <w:pPr>
        <w:pStyle w:val="Corpodeltesto2"/>
      </w:pPr>
      <w:r w:rsidRPr="00503BB1">
        <w:t xml:space="preserve">Nella Rottamazione quinquies rientrano anche i debiti già inclusi nelle prime tre rottamazioni, nel saldo e stralcio e nella Rottamazione quater (compresa la riammissione): lo ha ribadito l’Agenzia delle Entrate durante il </w:t>
      </w:r>
      <w:proofErr w:type="gramStart"/>
      <w:r w:rsidRPr="00503BB1">
        <w:t>9°</w:t>
      </w:r>
      <w:proofErr w:type="gramEnd"/>
      <w:r w:rsidRPr="00503BB1">
        <w:t xml:space="preserve"> Forum dei Commercialisti di ItaliaOggi, svoltosi il 26 gennaio, </w:t>
      </w:r>
      <w:r w:rsidRPr="00503BB1">
        <w:rPr>
          <w:u w:val="single"/>
        </w:rPr>
        <w:t>ribadendo però che, per le posizioni riferite alla quater, è necessario che le rate risultino non pagate alla data del 30 settembre 2025</w:t>
      </w:r>
      <w:r w:rsidRPr="00503BB1">
        <w:t>.</w:t>
      </w:r>
    </w:p>
    <w:p w14:paraId="4163CFDB" w14:textId="77777777" w:rsidR="00503BB1" w:rsidRDefault="00503BB1" w:rsidP="00503BB1">
      <w:pPr>
        <w:pStyle w:val="Corpodeltesto2"/>
      </w:pPr>
    </w:p>
    <w:p w14:paraId="6CF4AB6B" w14:textId="51583E88" w:rsidR="00503BB1" w:rsidRPr="00503BB1" w:rsidRDefault="00503BB1" w:rsidP="00503BB1">
      <w:pPr>
        <w:pStyle w:val="Corpodeltesto2"/>
        <w:rPr>
          <w:u w:val="single"/>
        </w:rPr>
      </w:pPr>
      <w:r w:rsidRPr="00503BB1">
        <w:rPr>
          <w:u w:val="single"/>
        </w:rPr>
        <w:t xml:space="preserve">Quando la quater può rientrare </w:t>
      </w:r>
      <w:proofErr w:type="gramStart"/>
      <w:r w:rsidRPr="00503BB1">
        <w:rPr>
          <w:u w:val="single"/>
        </w:rPr>
        <w:t>nella quinquies</w:t>
      </w:r>
      <w:proofErr w:type="gramEnd"/>
      <w:r w:rsidRPr="00503BB1">
        <w:rPr>
          <w:u w:val="single"/>
        </w:rPr>
        <w:t>? </w:t>
      </w:r>
    </w:p>
    <w:p w14:paraId="016116C5" w14:textId="77777777" w:rsidR="00503BB1" w:rsidRPr="00503BB1" w:rsidRDefault="00503BB1" w:rsidP="00503BB1">
      <w:pPr>
        <w:pStyle w:val="Corpodeltesto2"/>
      </w:pPr>
      <w:r w:rsidRPr="00503BB1">
        <w:t>Nella Rottamazione quinquies possono rientrate i debiti rientranti nella Rottamazione quater (debiti affidati all’agente della riscossione dal 1° gennaio 2000 al 31 dicembre 2022) nel caso in cui il contribuente non ha pagato anche solo una rata perdendone i benefici, purché: </w:t>
      </w:r>
    </w:p>
    <w:p w14:paraId="04B33074" w14:textId="77777777" w:rsidR="00503BB1" w:rsidRPr="00503BB1" w:rsidRDefault="00503BB1" w:rsidP="00503BB1">
      <w:pPr>
        <w:pStyle w:val="Corpodeltesto2"/>
        <w:numPr>
          <w:ilvl w:val="0"/>
          <w:numId w:val="21"/>
        </w:numPr>
      </w:pPr>
      <w:r w:rsidRPr="00503BB1">
        <w:t>le rate risultino non pagate alla data del 30 settembre 2025; </w:t>
      </w:r>
    </w:p>
    <w:p w14:paraId="69567E0C" w14:textId="77777777" w:rsidR="00503BB1" w:rsidRPr="00503BB1" w:rsidRDefault="00503BB1" w:rsidP="00503BB1">
      <w:pPr>
        <w:pStyle w:val="Corpodeltesto2"/>
        <w:numPr>
          <w:ilvl w:val="0"/>
          <w:numId w:val="21"/>
        </w:numPr>
      </w:pPr>
      <w:r w:rsidRPr="00503BB1">
        <w:t>i debiti riferiscano al perimetro della Rottamazione quinquies. </w:t>
      </w:r>
    </w:p>
    <w:p w14:paraId="362E88A1" w14:textId="77777777" w:rsidR="00503BB1" w:rsidRPr="00503BB1" w:rsidRDefault="00503BB1" w:rsidP="00503BB1">
      <w:pPr>
        <w:pStyle w:val="Corpodeltesto2"/>
      </w:pPr>
      <w:r w:rsidRPr="00503BB1">
        <w:t>Vale anche per i contribuenti che, dopo essere decaduti dalla Rottamazione quater, sono stati successivamente riammessi grazie alla misura introdotta con la Legge 15/2025 (di conversione del D.L. 202/2024). </w:t>
      </w:r>
    </w:p>
    <w:p w14:paraId="323C6327" w14:textId="77777777" w:rsidR="00503BB1" w:rsidRPr="00503BB1" w:rsidRDefault="00503BB1" w:rsidP="00503BB1">
      <w:pPr>
        <w:pStyle w:val="Corpodeltesto2"/>
      </w:pPr>
      <w:r w:rsidRPr="00503BB1">
        <w:t>Parliamo di chi aveva presentato domanda di adesione alla quater ma risultava decaduto alla data del 31 dicembre 2024.</w:t>
      </w:r>
    </w:p>
    <w:p w14:paraId="51B4A0C4" w14:textId="77777777" w:rsidR="00503BB1" w:rsidRPr="00503BB1" w:rsidRDefault="00503BB1" w:rsidP="00503BB1">
      <w:pPr>
        <w:pStyle w:val="Corpodeltesto2"/>
      </w:pPr>
      <w:r w:rsidRPr="00503BB1">
        <w:t>Sono invece esclusi dalla nuova Rottamazione i debiti che, seppur rientranti nell’ambito applicativo della Rottamazione quinquies, sono ricompresi in piani di pagamento della Rottamazione quater e della riammissione alla Rottamazione quater per i quali,</w:t>
      </w:r>
      <w:r w:rsidRPr="00503BB1">
        <w:rPr>
          <w:u w:val="single"/>
        </w:rPr>
        <w:t xml:space="preserve"> alla data del 30 settembre 2025, risultano regolarmente versate tutte le rate scadute</w:t>
      </w:r>
      <w:r w:rsidRPr="00503BB1">
        <w:t>.</w:t>
      </w:r>
    </w:p>
    <w:p w14:paraId="198851A0" w14:textId="77777777" w:rsidR="00503BB1" w:rsidRPr="00503BB1" w:rsidRDefault="00503BB1" w:rsidP="00503BB1">
      <w:pPr>
        <w:pStyle w:val="Corpodeltesto2"/>
      </w:pPr>
      <w:r w:rsidRPr="00503BB1">
        <w:t>Il perimetro della Rottamazione quinquies, lo ricordiamo, riguarda tutti i carichi affidati all’Agente della riscossione nel periodo ricompreso tra il 1° gennaio 2000 e il 31 dicembre 2023 derivanti da omesso versamento di:</w:t>
      </w:r>
    </w:p>
    <w:p w14:paraId="1DB03979" w14:textId="77777777" w:rsidR="00503BB1" w:rsidRPr="00503BB1" w:rsidRDefault="00503BB1" w:rsidP="00503BB1">
      <w:pPr>
        <w:pStyle w:val="Corpodeltesto2"/>
        <w:numPr>
          <w:ilvl w:val="0"/>
          <w:numId w:val="22"/>
        </w:numPr>
      </w:pPr>
      <w:r w:rsidRPr="00503BB1">
        <w:lastRenderedPageBreak/>
        <w:t>imposte, a seguito dei controlli automatici e formali effettuati dall’Agenzia delle Entrate sulle dichiarazioni annuali (artt. </w:t>
      </w:r>
      <w:hyperlink r:id="rId7" w:anchor="toc-59-articolo-36-bis" w:tgtFrame="_blank" w:history="1">
        <w:r w:rsidRPr="00503BB1">
          <w:rPr>
            <w:rStyle w:val="Collegamentoipertestuale"/>
          </w:rPr>
          <w:t>36-bis</w:t>
        </w:r>
      </w:hyperlink>
      <w:r w:rsidRPr="00503BB1">
        <w:t> e </w:t>
      </w:r>
      <w:hyperlink r:id="rId8" w:anchor="toc-60-articolo-36-ter" w:tgtFrame="_blank" w:history="1">
        <w:r w:rsidRPr="00503BB1">
          <w:rPr>
            <w:rStyle w:val="Collegamentoipertestuale"/>
          </w:rPr>
          <w:t>36-ter</w:t>
        </w:r>
      </w:hyperlink>
      <w:r w:rsidRPr="00503BB1">
        <w:t> DPR n. 600/1973; artt. </w:t>
      </w:r>
      <w:hyperlink r:id="rId9" w:anchor="toc-96-articolo-54-bis" w:tgtFrame="_blank" w:history="1">
        <w:r w:rsidRPr="00503BB1">
          <w:rPr>
            <w:rStyle w:val="Collegamentoipertestuale"/>
          </w:rPr>
          <w:t>54-bis</w:t>
        </w:r>
      </w:hyperlink>
      <w:r w:rsidRPr="00503BB1">
        <w:t> e </w:t>
      </w:r>
      <w:hyperlink r:id="rId10" w:anchor="toc-97-articolo-54-ter" w:tgtFrame="_blank" w:history="1">
        <w:r w:rsidRPr="00503BB1">
          <w:rPr>
            <w:rStyle w:val="Collegamentoipertestuale"/>
          </w:rPr>
          <w:t>54-ter </w:t>
        </w:r>
      </w:hyperlink>
      <w:r w:rsidRPr="00503BB1">
        <w:t>DPR n. 633/1972);</w:t>
      </w:r>
    </w:p>
    <w:p w14:paraId="0C99A257" w14:textId="77777777" w:rsidR="00503BB1" w:rsidRPr="00503BB1" w:rsidRDefault="00503BB1" w:rsidP="00503BB1">
      <w:pPr>
        <w:pStyle w:val="Corpodeltesto2"/>
        <w:numPr>
          <w:ilvl w:val="0"/>
          <w:numId w:val="22"/>
        </w:numPr>
      </w:pPr>
      <w:r w:rsidRPr="00503BB1">
        <w:t>contributi previdenziali dovuti all’INPS, con esclusione di quelli richiesti a seguito di accertamento;</w:t>
      </w:r>
    </w:p>
    <w:p w14:paraId="7CF58CBD" w14:textId="77777777" w:rsidR="00503BB1" w:rsidRPr="00503BB1" w:rsidRDefault="00503BB1" w:rsidP="00503BB1">
      <w:pPr>
        <w:pStyle w:val="Corpodeltesto2"/>
        <w:numPr>
          <w:ilvl w:val="0"/>
          <w:numId w:val="22"/>
        </w:numPr>
      </w:pPr>
      <w:r w:rsidRPr="00503BB1">
        <w:t>sanzioni amministrative irrogate, per violazioni del Codice della strada, di cui al </w:t>
      </w:r>
      <w:hyperlink r:id="rId11" w:tgtFrame="_blank" w:history="1">
        <w:r w:rsidRPr="00503BB1">
          <w:rPr>
            <w:rStyle w:val="Collegamentoipertestuale"/>
          </w:rPr>
          <w:t>decreto legislativo 30 aprile 1992, n. 285</w:t>
        </w:r>
      </w:hyperlink>
      <w:r w:rsidRPr="00503BB1">
        <w:t>, dalle competenti amministrazioni dello Stato (Prefetture).</w:t>
      </w:r>
    </w:p>
    <w:p w14:paraId="73252425" w14:textId="77777777" w:rsidR="00503BB1" w:rsidRPr="00503BB1" w:rsidRDefault="00503BB1" w:rsidP="00503BB1">
      <w:pPr>
        <w:pStyle w:val="Corpodeltesto2"/>
      </w:pPr>
      <w:r w:rsidRPr="00503BB1">
        <w:t>Purché siano riferiti a queste fattispecie rientrano anche i debiti già oggetto delle prime tre rottamazioni o del saldo e stralcio per i quali i contribuenti sono incorsi nella decadenza a seguito del mancato o non tempestivo pagamento degli importi dovuti alle previste scadenze. </w:t>
      </w:r>
    </w:p>
    <w:p w14:paraId="2BE07427" w14:textId="77777777" w:rsidR="00503BB1" w:rsidRDefault="00503BB1" w:rsidP="00503BB1">
      <w:pPr>
        <w:pStyle w:val="Corpodeltesto2"/>
      </w:pPr>
    </w:p>
    <w:p w14:paraId="72E89873" w14:textId="7D0109C3" w:rsidR="00503BB1" w:rsidRPr="00503BB1" w:rsidRDefault="00503BB1" w:rsidP="00503BB1">
      <w:pPr>
        <w:pStyle w:val="Corpodeltesto2"/>
        <w:rPr>
          <w:u w:val="single"/>
        </w:rPr>
      </w:pPr>
      <w:r w:rsidRPr="00503BB1">
        <w:rPr>
          <w:u w:val="single"/>
        </w:rPr>
        <w:t>Debiti esclusi dalla Rottamazione quinquies: multe comunali, TARI/bollo auto e accertamenti</w:t>
      </w:r>
    </w:p>
    <w:p w14:paraId="602D5B1A" w14:textId="77777777" w:rsidR="00503BB1" w:rsidRPr="00503BB1" w:rsidRDefault="00503BB1" w:rsidP="00503BB1">
      <w:pPr>
        <w:pStyle w:val="Corpodeltesto2"/>
      </w:pPr>
      <w:r w:rsidRPr="00503BB1">
        <w:t>Non tutti i carichi possono essere definiti con la Rottamazione quinquies. </w:t>
      </w:r>
    </w:p>
    <w:p w14:paraId="470CE0DE" w14:textId="77777777" w:rsidR="00503BB1" w:rsidRPr="00503BB1" w:rsidRDefault="00503BB1" w:rsidP="00503BB1">
      <w:pPr>
        <w:pStyle w:val="Corpodeltesto2"/>
      </w:pPr>
      <w:r w:rsidRPr="00503BB1">
        <w:t>Restano infatti escluse le cartelle relative alle multe per violazioni del Codice della strada quando la sanzione è stata irrogata dalla polizia locale del comune: la norma ammette alla definizione agevolata solo le sanzioni stradali irrogate dalle amministrazioni dello Stato, come le Prefetture. </w:t>
      </w:r>
    </w:p>
    <w:p w14:paraId="541B781E" w14:textId="77777777" w:rsidR="00503BB1" w:rsidRPr="00503BB1" w:rsidRDefault="00503BB1" w:rsidP="00503BB1">
      <w:pPr>
        <w:pStyle w:val="Corpodeltesto2"/>
      </w:pPr>
      <w:r w:rsidRPr="00503BB1">
        <w:t>Allo stesso modo, non è possibile rottamare i carichi affidati alla riscossione da enti locali e regioni, quindi, ad esempio le cartelle per TARI (competenza comunale) e per bollo auto (competenza regionale) non rientrano nell’ambito applicativo della misura. </w:t>
      </w:r>
    </w:p>
    <w:p w14:paraId="3CDBFE13" w14:textId="77777777" w:rsidR="00503BB1" w:rsidRPr="00503BB1" w:rsidRDefault="00503BB1" w:rsidP="00503BB1">
      <w:pPr>
        <w:pStyle w:val="Corpodeltesto2"/>
      </w:pPr>
      <w:proofErr w:type="gramStart"/>
      <w:r w:rsidRPr="00503BB1">
        <w:t>Infine</w:t>
      </w:r>
      <w:proofErr w:type="gramEnd"/>
      <w:r w:rsidRPr="00503BB1">
        <w:t xml:space="preserve"> sono fuori anche i debiti che derivano da attività di accertamento dell’Agenzia delle Entrate (come gli avvisi di accertamento), perché la Rottamazione quinquies riguarda solo specifiche tipologie di carichi, tra cui quelli legati all’omesso versamento emerso dai controlli automatici e formali sulle dichiarazioni. </w:t>
      </w:r>
    </w:p>
    <w:p w14:paraId="7A464366" w14:textId="77777777" w:rsidR="00503BB1" w:rsidRDefault="00503BB1" w:rsidP="00503BB1">
      <w:pPr>
        <w:pStyle w:val="Corpodeltesto2"/>
        <w:rPr>
          <w:lang w:val="it"/>
        </w:rPr>
      </w:pPr>
    </w:p>
    <w:sectPr w:rsidR="00503BB1" w:rsidSect="002B4DD3">
      <w:headerReference w:type="default" r:id="rId12"/>
      <w:footerReference w:type="even" r:id="rId13"/>
      <w:footerReference w:type="default" r:id="rId14"/>
      <w:footerReference w:type="first" r:id="rId15"/>
      <w:pgSz w:w="11906" w:h="16838" w:code="9"/>
      <w:pgMar w:top="1134" w:right="1134" w:bottom="1134" w:left="1134" w:header="709" w:footer="709" w:gutter="0"/>
      <w:cols w:sep="1"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BA685" w14:textId="77777777" w:rsidR="00AB65AD" w:rsidRDefault="00AB65AD" w:rsidP="00A32F6D">
      <w:r>
        <w:separator/>
      </w:r>
    </w:p>
  </w:endnote>
  <w:endnote w:type="continuationSeparator" w:id="0">
    <w:p w14:paraId="1926CC14" w14:textId="77777777" w:rsidR="00AB65AD" w:rsidRDefault="00AB65AD" w:rsidP="00A32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509DB" w14:textId="77777777" w:rsidR="006A0ADA" w:rsidRPr="006E0FE1" w:rsidRDefault="00710C35">
    <w:pPr>
      <w:pStyle w:val="Pidipagina"/>
      <w:framePr w:wrap="around" w:vAnchor="text" w:hAnchor="margin" w:xAlign="right" w:y="1"/>
      <w:rPr>
        <w:rStyle w:val="Numeropagina"/>
        <w:sz w:val="23"/>
        <w:szCs w:val="23"/>
      </w:rPr>
    </w:pPr>
    <w:r w:rsidRPr="006E0FE1">
      <w:rPr>
        <w:rStyle w:val="Numeropagina"/>
        <w:sz w:val="23"/>
        <w:szCs w:val="23"/>
      </w:rPr>
      <w:fldChar w:fldCharType="begin"/>
    </w:r>
    <w:r w:rsidR="006A0ADA" w:rsidRPr="006E0FE1">
      <w:rPr>
        <w:rStyle w:val="Numeropagina"/>
        <w:sz w:val="23"/>
        <w:szCs w:val="23"/>
      </w:rPr>
      <w:instrText xml:space="preserve">PAGE  </w:instrText>
    </w:r>
    <w:r w:rsidRPr="006E0FE1">
      <w:rPr>
        <w:rStyle w:val="Numeropagina"/>
        <w:sz w:val="23"/>
        <w:szCs w:val="23"/>
      </w:rPr>
      <w:fldChar w:fldCharType="end"/>
    </w:r>
  </w:p>
  <w:p w14:paraId="2B47EDB4" w14:textId="77777777" w:rsidR="006A0ADA" w:rsidRPr="006E0FE1" w:rsidRDefault="006A0ADA">
    <w:pPr>
      <w:pStyle w:val="Pidipagina"/>
      <w:ind w:right="360"/>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EB6E5" w14:textId="77777777" w:rsidR="006A0ADA" w:rsidRPr="006E0FE1" w:rsidRDefault="00710C35">
    <w:pPr>
      <w:pStyle w:val="Pidipagina"/>
      <w:framePr w:wrap="around" w:vAnchor="text" w:hAnchor="margin" w:xAlign="right" w:y="1"/>
      <w:rPr>
        <w:rStyle w:val="Numeropagina"/>
        <w:sz w:val="23"/>
        <w:szCs w:val="23"/>
      </w:rPr>
    </w:pPr>
    <w:r w:rsidRPr="006E0FE1">
      <w:rPr>
        <w:rStyle w:val="Numeropagina"/>
        <w:sz w:val="23"/>
        <w:szCs w:val="23"/>
      </w:rPr>
      <w:fldChar w:fldCharType="begin"/>
    </w:r>
    <w:r w:rsidR="006A0ADA" w:rsidRPr="006E0FE1">
      <w:rPr>
        <w:rStyle w:val="Numeropagina"/>
        <w:sz w:val="23"/>
        <w:szCs w:val="23"/>
      </w:rPr>
      <w:instrText xml:space="preserve">PAGE  </w:instrText>
    </w:r>
    <w:r w:rsidRPr="006E0FE1">
      <w:rPr>
        <w:rStyle w:val="Numeropagina"/>
        <w:sz w:val="23"/>
        <w:szCs w:val="23"/>
      </w:rPr>
      <w:fldChar w:fldCharType="separate"/>
    </w:r>
    <w:r w:rsidR="00627F03">
      <w:rPr>
        <w:rStyle w:val="Numeropagina"/>
        <w:noProof/>
        <w:sz w:val="23"/>
        <w:szCs w:val="23"/>
      </w:rPr>
      <w:t>2</w:t>
    </w:r>
    <w:r w:rsidRPr="006E0FE1">
      <w:rPr>
        <w:rStyle w:val="Numeropagina"/>
        <w:sz w:val="23"/>
        <w:szCs w:val="23"/>
      </w:rPr>
      <w:fldChar w:fldCharType="end"/>
    </w:r>
  </w:p>
  <w:p w14:paraId="57BB564B" w14:textId="77777777" w:rsidR="006A0ADA" w:rsidRPr="006E0FE1" w:rsidRDefault="006A0ADA">
    <w:pPr>
      <w:pStyle w:val="Pidipagina"/>
      <w:jc w:val="center"/>
      <w:rPr>
        <w:rFonts w:ascii="Century" w:hAnsi="Century"/>
        <w:b/>
        <w:bCs/>
        <w:i/>
        <w:iCs/>
        <w:sz w:val="19"/>
        <w:szCs w:val="19"/>
      </w:rPr>
    </w:pPr>
  </w:p>
  <w:p w14:paraId="48EA5E27" w14:textId="77777777" w:rsidR="006A0ADA" w:rsidRPr="006E0FE1" w:rsidRDefault="006A0ADA">
    <w:pPr>
      <w:pStyle w:val="Pidipagina"/>
      <w:jc w:val="center"/>
      <w:rPr>
        <w:rFonts w:ascii="Century" w:hAnsi="Century"/>
        <w:b/>
        <w:bCs/>
        <w:i/>
        <w:iCs/>
        <w:sz w:val="19"/>
        <w:szCs w:val="19"/>
      </w:rPr>
    </w:pPr>
  </w:p>
  <w:p w14:paraId="622ACF04" w14:textId="77777777" w:rsidR="006A0ADA" w:rsidRPr="006E0FE1" w:rsidRDefault="006A0ADA">
    <w:pPr>
      <w:pStyle w:val="Pidipagina"/>
      <w:jc w:val="center"/>
      <w:rPr>
        <w:rFonts w:ascii="Century" w:hAnsi="Century"/>
        <w:b/>
        <w:bCs/>
        <w:i/>
        <w:iCs/>
        <w:sz w:val="19"/>
        <w:szCs w:val="19"/>
      </w:rPr>
    </w:pPr>
    <w:r w:rsidRPr="006E0FE1">
      <w:rPr>
        <w:rFonts w:ascii="Century" w:hAnsi="Century"/>
        <w:b/>
        <w:bCs/>
        <w:i/>
        <w:iCs/>
        <w:sz w:val="19"/>
        <w:szCs w:val="19"/>
      </w:rPr>
      <w:t xml:space="preserve">116    </w:t>
    </w:r>
    <w:proofErr w:type="gramStart"/>
    <w:r w:rsidRPr="006E0FE1">
      <w:rPr>
        <w:rFonts w:ascii="Century" w:hAnsi="Century"/>
        <w:b/>
        <w:bCs/>
        <w:i/>
        <w:iCs/>
        <w:sz w:val="19"/>
        <w:szCs w:val="19"/>
      </w:rPr>
      <w:t>Via  Marconi</w:t>
    </w:r>
    <w:proofErr w:type="gramEnd"/>
    <w:r w:rsidRPr="006E0FE1">
      <w:rPr>
        <w:rFonts w:ascii="Century" w:hAnsi="Century"/>
        <w:b/>
        <w:bCs/>
        <w:i/>
        <w:iCs/>
        <w:sz w:val="19"/>
        <w:szCs w:val="19"/>
      </w:rPr>
      <w:t xml:space="preserve">    -    89044    Locri </w:t>
    </w:r>
    <w:proofErr w:type="gramStart"/>
    <w:r w:rsidRPr="006E0FE1">
      <w:rPr>
        <w:rFonts w:ascii="Century" w:hAnsi="Century"/>
        <w:b/>
        <w:bCs/>
        <w:i/>
        <w:iCs/>
        <w:sz w:val="19"/>
        <w:szCs w:val="19"/>
      </w:rPr>
      <w:t xml:space="preserve">   (</w:t>
    </w:r>
    <w:proofErr w:type="gramEnd"/>
    <w:r w:rsidRPr="006E0FE1">
      <w:rPr>
        <w:rFonts w:ascii="Century" w:hAnsi="Century"/>
        <w:b/>
        <w:bCs/>
        <w:i/>
        <w:iCs/>
        <w:sz w:val="19"/>
        <w:szCs w:val="19"/>
      </w:rPr>
      <w:t>RC)</w:t>
    </w:r>
  </w:p>
  <w:p w14:paraId="1F54A5EB" w14:textId="77777777" w:rsidR="006A0ADA" w:rsidRPr="006E0FE1" w:rsidRDefault="006A0ADA">
    <w:pPr>
      <w:pStyle w:val="Pidipagina"/>
      <w:jc w:val="center"/>
      <w:rPr>
        <w:rFonts w:ascii="Century" w:hAnsi="Century"/>
        <w:b/>
        <w:bCs/>
        <w:i/>
        <w:iCs/>
        <w:sz w:val="23"/>
        <w:szCs w:val="23"/>
      </w:rPr>
    </w:pPr>
    <w:r w:rsidRPr="006E0FE1">
      <w:rPr>
        <w:rFonts w:ascii="Century" w:hAnsi="Century"/>
        <w:b/>
        <w:bCs/>
        <w:i/>
        <w:iCs/>
        <w:sz w:val="19"/>
        <w:szCs w:val="19"/>
      </w:rPr>
      <w:t>Tel.    0964   21530    Fax   0964   22151    e-mail   belcastro@epizefiri.it</w:t>
    </w:r>
  </w:p>
  <w:p w14:paraId="0D6DFD91" w14:textId="77777777" w:rsidR="006A0ADA" w:rsidRPr="006E0FE1" w:rsidRDefault="006A0ADA">
    <w:pPr>
      <w:pStyle w:val="Pidipagina"/>
      <w:ind w:right="360"/>
      <w:rPr>
        <w:sz w:val="23"/>
        <w:szCs w:val="2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820E" w14:textId="77777777" w:rsidR="006A0ADA" w:rsidRPr="006E0FE1" w:rsidRDefault="006A0ADA" w:rsidP="006A0ADA">
    <w:pPr>
      <w:pStyle w:val="Pidipagina"/>
      <w:jc w:val="center"/>
      <w:rPr>
        <w:rFonts w:ascii="Century" w:hAnsi="Century"/>
        <w:b/>
        <w:bCs/>
        <w:i/>
        <w:iCs/>
        <w:sz w:val="19"/>
        <w:szCs w:val="19"/>
      </w:rPr>
    </w:pPr>
  </w:p>
  <w:p w14:paraId="19140A16" w14:textId="77777777" w:rsidR="006A0ADA" w:rsidRPr="006E0FE1" w:rsidRDefault="006A0ADA" w:rsidP="006A0ADA">
    <w:pPr>
      <w:pStyle w:val="Pidipagina"/>
      <w:jc w:val="center"/>
      <w:rPr>
        <w:rFonts w:ascii="Century" w:hAnsi="Century"/>
        <w:b/>
        <w:bCs/>
        <w:i/>
        <w:iCs/>
        <w:sz w:val="19"/>
        <w:szCs w:val="19"/>
      </w:rPr>
    </w:pPr>
  </w:p>
  <w:p w14:paraId="30D3ADE8" w14:textId="77777777" w:rsidR="006A0ADA" w:rsidRPr="006E0FE1" w:rsidRDefault="006A0ADA" w:rsidP="006A0ADA">
    <w:pPr>
      <w:pStyle w:val="Pidipagina"/>
      <w:jc w:val="center"/>
      <w:rPr>
        <w:rFonts w:ascii="Century" w:hAnsi="Century"/>
        <w:b/>
        <w:bCs/>
        <w:i/>
        <w:iCs/>
        <w:sz w:val="19"/>
        <w:szCs w:val="19"/>
      </w:rPr>
    </w:pPr>
  </w:p>
  <w:p w14:paraId="43C374CC" w14:textId="77777777" w:rsidR="006A0ADA" w:rsidRPr="006E0FE1" w:rsidRDefault="006A0ADA" w:rsidP="006A0ADA">
    <w:pPr>
      <w:pStyle w:val="Pidipagina"/>
      <w:jc w:val="center"/>
      <w:rPr>
        <w:rFonts w:ascii="Century" w:hAnsi="Century"/>
        <w:b/>
        <w:i/>
        <w:sz w:val="19"/>
        <w:szCs w:val="19"/>
      </w:rPr>
    </w:pPr>
    <w:r w:rsidRPr="006E0FE1">
      <w:rPr>
        <w:rFonts w:ascii="Century" w:hAnsi="Century"/>
        <w:b/>
        <w:i/>
        <w:sz w:val="19"/>
        <w:szCs w:val="19"/>
      </w:rPr>
      <w:t xml:space="preserve">116    </w:t>
    </w:r>
    <w:proofErr w:type="gramStart"/>
    <w:r w:rsidRPr="006E0FE1">
      <w:rPr>
        <w:rFonts w:ascii="Century" w:hAnsi="Century"/>
        <w:b/>
        <w:i/>
        <w:sz w:val="19"/>
        <w:szCs w:val="19"/>
      </w:rPr>
      <w:t>Via  Marconi</w:t>
    </w:r>
    <w:proofErr w:type="gramEnd"/>
    <w:r w:rsidRPr="006E0FE1">
      <w:rPr>
        <w:rFonts w:ascii="Century" w:hAnsi="Century"/>
        <w:b/>
        <w:i/>
        <w:sz w:val="19"/>
        <w:szCs w:val="19"/>
      </w:rPr>
      <w:t xml:space="preserve">    -    89044    Locri </w:t>
    </w:r>
    <w:proofErr w:type="gramStart"/>
    <w:r w:rsidRPr="006E0FE1">
      <w:rPr>
        <w:rFonts w:ascii="Century" w:hAnsi="Century"/>
        <w:b/>
        <w:i/>
        <w:sz w:val="19"/>
        <w:szCs w:val="19"/>
      </w:rPr>
      <w:t xml:space="preserve">   (RC)   </w:t>
    </w:r>
    <w:proofErr w:type="gramEnd"/>
    <w:r w:rsidRPr="006E0FE1">
      <w:rPr>
        <w:rFonts w:ascii="Century" w:hAnsi="Century"/>
        <w:b/>
        <w:i/>
        <w:sz w:val="19"/>
        <w:szCs w:val="19"/>
      </w:rPr>
      <w:t xml:space="preserve">   -     Tel.    0964   21530    Fax   0964   22151    </w:t>
    </w:r>
  </w:p>
  <w:p w14:paraId="3C6495F1" w14:textId="77777777" w:rsidR="006A0ADA" w:rsidRPr="006E0FE1" w:rsidRDefault="006A0ADA" w:rsidP="006A0ADA">
    <w:pPr>
      <w:pStyle w:val="Corpotesto"/>
      <w:jc w:val="center"/>
      <w:rPr>
        <w:sz w:val="19"/>
        <w:szCs w:val="19"/>
      </w:rPr>
    </w:pPr>
    <w:r w:rsidRPr="006E0FE1">
      <w:rPr>
        <w:sz w:val="19"/>
        <w:szCs w:val="19"/>
      </w:rPr>
      <w:t xml:space="preserve">e-mail </w:t>
    </w:r>
    <w:hyperlink r:id="rId1" w:history="1">
      <w:r w:rsidRPr="006E0FE1">
        <w:rPr>
          <w:rStyle w:val="Collegamentoipertestuale"/>
          <w:sz w:val="19"/>
          <w:szCs w:val="19"/>
        </w:rPr>
        <w:t>claudio.belcastro@studiobelcastro.it</w:t>
      </w:r>
    </w:hyperlink>
    <w:r w:rsidRPr="006E0FE1">
      <w:rPr>
        <w:sz w:val="19"/>
        <w:szCs w:val="19"/>
      </w:rPr>
      <w:t xml:space="preserve"> - web </w:t>
    </w:r>
    <w:hyperlink r:id="rId2" w:history="1">
      <w:r w:rsidRPr="006E0FE1">
        <w:rPr>
          <w:rStyle w:val="Collegamentoipertestuale"/>
          <w:sz w:val="19"/>
          <w:szCs w:val="19"/>
        </w:rPr>
        <w:t>www.studiobelcastro.it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C1308" w14:textId="77777777" w:rsidR="00AB65AD" w:rsidRDefault="00AB65AD" w:rsidP="00A32F6D">
      <w:r>
        <w:separator/>
      </w:r>
    </w:p>
  </w:footnote>
  <w:footnote w:type="continuationSeparator" w:id="0">
    <w:p w14:paraId="2D433BE3" w14:textId="77777777" w:rsidR="00AB65AD" w:rsidRDefault="00AB65AD" w:rsidP="00A32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E747A" w14:textId="77777777" w:rsidR="006A0ADA" w:rsidRPr="006E0FE1" w:rsidRDefault="006A0ADA">
    <w:pPr>
      <w:pStyle w:val="Intestazione"/>
      <w:jc w:val="center"/>
      <w:rPr>
        <w:rFonts w:ascii="Century" w:hAnsi="Century"/>
        <w:b/>
        <w:bCs/>
        <w:i/>
        <w:iCs/>
        <w:sz w:val="31"/>
        <w:szCs w:val="31"/>
      </w:rPr>
    </w:pPr>
    <w:r w:rsidRPr="006E0FE1">
      <w:rPr>
        <w:rFonts w:ascii="Century" w:hAnsi="Century"/>
        <w:b/>
        <w:bCs/>
        <w:i/>
        <w:iCs/>
        <w:sz w:val="27"/>
        <w:szCs w:val="27"/>
      </w:rPr>
      <w:t>STUDIO BELCASTRO</w:t>
    </w:r>
  </w:p>
  <w:p w14:paraId="3F173899" w14:textId="77777777" w:rsidR="006A0ADA" w:rsidRPr="006E0FE1" w:rsidRDefault="006A0ADA">
    <w:pPr>
      <w:pStyle w:val="Intestazione"/>
      <w:jc w:val="center"/>
      <w:rPr>
        <w:rFonts w:ascii="Century" w:hAnsi="Century"/>
        <w:b/>
        <w:bCs/>
        <w:i/>
        <w:iCs/>
        <w:sz w:val="42"/>
        <w:szCs w:val="4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B79F8"/>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06F45FD8"/>
    <w:multiLevelType w:val="multilevel"/>
    <w:tmpl w:val="56D6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F7240C"/>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0E283DBC"/>
    <w:multiLevelType w:val="hybridMultilevel"/>
    <w:tmpl w:val="ECBC7386"/>
    <w:lvl w:ilvl="0" w:tplc="75F470E2">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1E660AD"/>
    <w:multiLevelType w:val="multilevel"/>
    <w:tmpl w:val="45C2A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C873A9"/>
    <w:multiLevelType w:val="hybridMultilevel"/>
    <w:tmpl w:val="E7204F4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F982F8F"/>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25CE105D"/>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 w15:restartNumberingAfterBreak="0">
    <w:nsid w:val="2E0E19F9"/>
    <w:multiLevelType w:val="hybridMultilevel"/>
    <w:tmpl w:val="34A89F64"/>
    <w:lvl w:ilvl="0" w:tplc="83421DE0">
      <w:numFmt w:val="bullet"/>
      <w:lvlText w:val=""/>
      <w:lvlJc w:val="left"/>
      <w:pPr>
        <w:tabs>
          <w:tab w:val="num" w:pos="1069"/>
        </w:tabs>
        <w:ind w:left="1069" w:hanging="360"/>
      </w:pPr>
      <w:rPr>
        <w:rFonts w:ascii="Symbol" w:eastAsia="Times New Roman" w:hAnsi="Symbol" w:cs="Times New Roman" w:hint="default"/>
      </w:rPr>
    </w:lvl>
    <w:lvl w:ilvl="1" w:tplc="04100003" w:tentative="1">
      <w:start w:val="1"/>
      <w:numFmt w:val="bullet"/>
      <w:lvlText w:val="o"/>
      <w:lvlJc w:val="left"/>
      <w:pPr>
        <w:tabs>
          <w:tab w:val="num" w:pos="1789"/>
        </w:tabs>
        <w:ind w:left="1789" w:hanging="360"/>
      </w:pPr>
      <w:rPr>
        <w:rFonts w:ascii="Courier New" w:hAnsi="Courier New" w:cs="Courier New" w:hint="default"/>
      </w:rPr>
    </w:lvl>
    <w:lvl w:ilvl="2" w:tplc="04100005" w:tentative="1">
      <w:start w:val="1"/>
      <w:numFmt w:val="bullet"/>
      <w:lvlText w:val=""/>
      <w:lvlJc w:val="left"/>
      <w:pPr>
        <w:tabs>
          <w:tab w:val="num" w:pos="2509"/>
        </w:tabs>
        <w:ind w:left="2509" w:hanging="360"/>
      </w:pPr>
      <w:rPr>
        <w:rFonts w:ascii="Wingdings" w:hAnsi="Wingdings" w:hint="default"/>
      </w:rPr>
    </w:lvl>
    <w:lvl w:ilvl="3" w:tplc="04100001" w:tentative="1">
      <w:start w:val="1"/>
      <w:numFmt w:val="bullet"/>
      <w:lvlText w:val=""/>
      <w:lvlJc w:val="left"/>
      <w:pPr>
        <w:tabs>
          <w:tab w:val="num" w:pos="3229"/>
        </w:tabs>
        <w:ind w:left="3229" w:hanging="360"/>
      </w:pPr>
      <w:rPr>
        <w:rFonts w:ascii="Symbol" w:hAnsi="Symbol" w:hint="default"/>
      </w:rPr>
    </w:lvl>
    <w:lvl w:ilvl="4" w:tplc="04100003" w:tentative="1">
      <w:start w:val="1"/>
      <w:numFmt w:val="bullet"/>
      <w:lvlText w:val="o"/>
      <w:lvlJc w:val="left"/>
      <w:pPr>
        <w:tabs>
          <w:tab w:val="num" w:pos="3949"/>
        </w:tabs>
        <w:ind w:left="3949" w:hanging="360"/>
      </w:pPr>
      <w:rPr>
        <w:rFonts w:ascii="Courier New" w:hAnsi="Courier New" w:cs="Courier New" w:hint="default"/>
      </w:rPr>
    </w:lvl>
    <w:lvl w:ilvl="5" w:tplc="04100005" w:tentative="1">
      <w:start w:val="1"/>
      <w:numFmt w:val="bullet"/>
      <w:lvlText w:val=""/>
      <w:lvlJc w:val="left"/>
      <w:pPr>
        <w:tabs>
          <w:tab w:val="num" w:pos="4669"/>
        </w:tabs>
        <w:ind w:left="4669" w:hanging="360"/>
      </w:pPr>
      <w:rPr>
        <w:rFonts w:ascii="Wingdings" w:hAnsi="Wingdings" w:hint="default"/>
      </w:rPr>
    </w:lvl>
    <w:lvl w:ilvl="6" w:tplc="04100001" w:tentative="1">
      <w:start w:val="1"/>
      <w:numFmt w:val="bullet"/>
      <w:lvlText w:val=""/>
      <w:lvlJc w:val="left"/>
      <w:pPr>
        <w:tabs>
          <w:tab w:val="num" w:pos="5389"/>
        </w:tabs>
        <w:ind w:left="5389" w:hanging="360"/>
      </w:pPr>
      <w:rPr>
        <w:rFonts w:ascii="Symbol" w:hAnsi="Symbol" w:hint="default"/>
      </w:rPr>
    </w:lvl>
    <w:lvl w:ilvl="7" w:tplc="04100003" w:tentative="1">
      <w:start w:val="1"/>
      <w:numFmt w:val="bullet"/>
      <w:lvlText w:val="o"/>
      <w:lvlJc w:val="left"/>
      <w:pPr>
        <w:tabs>
          <w:tab w:val="num" w:pos="6109"/>
        </w:tabs>
        <w:ind w:left="6109" w:hanging="360"/>
      </w:pPr>
      <w:rPr>
        <w:rFonts w:ascii="Courier New" w:hAnsi="Courier New" w:cs="Courier New" w:hint="default"/>
      </w:rPr>
    </w:lvl>
    <w:lvl w:ilvl="8" w:tplc="04100005" w:tentative="1">
      <w:start w:val="1"/>
      <w:numFmt w:val="bullet"/>
      <w:lvlText w:val=""/>
      <w:lvlJc w:val="left"/>
      <w:pPr>
        <w:tabs>
          <w:tab w:val="num" w:pos="6829"/>
        </w:tabs>
        <w:ind w:left="6829" w:hanging="360"/>
      </w:pPr>
      <w:rPr>
        <w:rFonts w:ascii="Wingdings" w:hAnsi="Wingdings" w:hint="default"/>
      </w:rPr>
    </w:lvl>
  </w:abstractNum>
  <w:abstractNum w:abstractNumId="9" w15:restartNumberingAfterBreak="0">
    <w:nsid w:val="374D3131"/>
    <w:multiLevelType w:val="hybridMultilevel"/>
    <w:tmpl w:val="2D6ABF36"/>
    <w:lvl w:ilvl="0" w:tplc="B4CED252">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F264749"/>
    <w:multiLevelType w:val="hybridMultilevel"/>
    <w:tmpl w:val="E6B0B2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60908EC"/>
    <w:multiLevelType w:val="hybridMultilevel"/>
    <w:tmpl w:val="0908F21E"/>
    <w:lvl w:ilvl="0" w:tplc="75FA7884">
      <w:start w:val="3"/>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EDA4677"/>
    <w:multiLevelType w:val="hybridMultilevel"/>
    <w:tmpl w:val="5C3CFBF6"/>
    <w:lvl w:ilvl="0" w:tplc="093E04EE">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FA54443"/>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 w15:restartNumberingAfterBreak="0">
    <w:nsid w:val="518651B6"/>
    <w:multiLevelType w:val="multilevel"/>
    <w:tmpl w:val="EF66A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36175F6"/>
    <w:multiLevelType w:val="multilevel"/>
    <w:tmpl w:val="3E7A3566"/>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6" w15:restartNumberingAfterBreak="0">
    <w:nsid w:val="5784267C"/>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7" w15:restartNumberingAfterBreak="0">
    <w:nsid w:val="60D21B60"/>
    <w:multiLevelType w:val="hybridMultilevel"/>
    <w:tmpl w:val="81AE8CAE"/>
    <w:lvl w:ilvl="0" w:tplc="F29E3700">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765610E"/>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9" w15:restartNumberingAfterBreak="0">
    <w:nsid w:val="752C69B3"/>
    <w:multiLevelType w:val="multilevel"/>
    <w:tmpl w:val="954AC564"/>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0" w15:restartNumberingAfterBreak="0">
    <w:nsid w:val="799A4D3B"/>
    <w:multiLevelType w:val="hybridMultilevel"/>
    <w:tmpl w:val="1AC69A6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AF83C5E"/>
    <w:multiLevelType w:val="hybridMultilevel"/>
    <w:tmpl w:val="C07E21A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82667244">
    <w:abstractNumId w:val="8"/>
  </w:num>
  <w:num w:numId="2" w16cid:durableId="662272964">
    <w:abstractNumId w:val="15"/>
  </w:num>
  <w:num w:numId="3" w16cid:durableId="353776043">
    <w:abstractNumId w:val="19"/>
  </w:num>
  <w:num w:numId="4" w16cid:durableId="1616669055">
    <w:abstractNumId w:val="6"/>
  </w:num>
  <w:num w:numId="5" w16cid:durableId="1844130009">
    <w:abstractNumId w:val="5"/>
  </w:num>
  <w:num w:numId="6" w16cid:durableId="2116631285">
    <w:abstractNumId w:val="11"/>
  </w:num>
  <w:num w:numId="7" w16cid:durableId="1462921736">
    <w:abstractNumId w:val="20"/>
  </w:num>
  <w:num w:numId="8" w16cid:durableId="95254443">
    <w:abstractNumId w:val="10"/>
  </w:num>
  <w:num w:numId="9" w16cid:durableId="272784366">
    <w:abstractNumId w:val="13"/>
  </w:num>
  <w:num w:numId="10" w16cid:durableId="551423960">
    <w:abstractNumId w:val="7"/>
  </w:num>
  <w:num w:numId="11" w16cid:durableId="1853564208">
    <w:abstractNumId w:val="0"/>
  </w:num>
  <w:num w:numId="12" w16cid:durableId="800532907">
    <w:abstractNumId w:val="2"/>
  </w:num>
  <w:num w:numId="13" w16cid:durableId="463816025">
    <w:abstractNumId w:val="16"/>
  </w:num>
  <w:num w:numId="14" w16cid:durableId="2102797573">
    <w:abstractNumId w:val="18"/>
  </w:num>
  <w:num w:numId="15" w16cid:durableId="1331981394">
    <w:abstractNumId w:val="21"/>
  </w:num>
  <w:num w:numId="16" w16cid:durableId="261425994">
    <w:abstractNumId w:val="3"/>
  </w:num>
  <w:num w:numId="17" w16cid:durableId="687219582">
    <w:abstractNumId w:val="9"/>
  </w:num>
  <w:num w:numId="18" w16cid:durableId="425343916">
    <w:abstractNumId w:val="17"/>
  </w:num>
  <w:num w:numId="19" w16cid:durableId="521167879">
    <w:abstractNumId w:val="1"/>
  </w:num>
  <w:num w:numId="20" w16cid:durableId="73018300">
    <w:abstractNumId w:val="12"/>
  </w:num>
  <w:num w:numId="21" w16cid:durableId="1147672760">
    <w:abstractNumId w:val="14"/>
  </w:num>
  <w:num w:numId="22" w16cid:durableId="6167229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E0FE1"/>
    <w:rsid w:val="000041B0"/>
    <w:rsid w:val="002B2E80"/>
    <w:rsid w:val="002B4DD3"/>
    <w:rsid w:val="003556F9"/>
    <w:rsid w:val="0037360F"/>
    <w:rsid w:val="00394758"/>
    <w:rsid w:val="00503BB1"/>
    <w:rsid w:val="00534569"/>
    <w:rsid w:val="0054469D"/>
    <w:rsid w:val="005D1430"/>
    <w:rsid w:val="00627F03"/>
    <w:rsid w:val="00637D2C"/>
    <w:rsid w:val="00695650"/>
    <w:rsid w:val="006A0ADA"/>
    <w:rsid w:val="006A41A2"/>
    <w:rsid w:val="006E0FE1"/>
    <w:rsid w:val="006F7B3E"/>
    <w:rsid w:val="00710C35"/>
    <w:rsid w:val="00710D33"/>
    <w:rsid w:val="007279FD"/>
    <w:rsid w:val="00746C16"/>
    <w:rsid w:val="007605B6"/>
    <w:rsid w:val="007760E9"/>
    <w:rsid w:val="00864620"/>
    <w:rsid w:val="008E38AF"/>
    <w:rsid w:val="00913301"/>
    <w:rsid w:val="009C4667"/>
    <w:rsid w:val="00A250B0"/>
    <w:rsid w:val="00A32F6D"/>
    <w:rsid w:val="00AB65AD"/>
    <w:rsid w:val="00B47718"/>
    <w:rsid w:val="00B827D3"/>
    <w:rsid w:val="00B93C06"/>
    <w:rsid w:val="00BA3538"/>
    <w:rsid w:val="00BB12F6"/>
    <w:rsid w:val="00C46AF2"/>
    <w:rsid w:val="00CB1497"/>
    <w:rsid w:val="00CC35B9"/>
    <w:rsid w:val="00DF5BE5"/>
    <w:rsid w:val="00DF6D65"/>
    <w:rsid w:val="00E2323C"/>
    <w:rsid w:val="00EE27B3"/>
    <w:rsid w:val="00F24E1A"/>
    <w:rsid w:val="00F84834"/>
    <w:rsid w:val="00FB0ADB"/>
    <w:rsid w:val="00FD4C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EC67A"/>
  <w15:docId w15:val="{98EBD263-6EC8-4EA1-A020-DFFDE69C7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E0FE1"/>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qFormat/>
    <w:rsid w:val="006E0FE1"/>
    <w:pPr>
      <w:keepNext/>
      <w:outlineLvl w:val="1"/>
    </w:pPr>
    <w:rPr>
      <w:rFonts w:ascii="Century" w:hAnsi="Century"/>
      <w:b/>
      <w:bCs/>
      <w:i/>
      <w:iCs/>
      <w:sz w:val="36"/>
    </w:rPr>
  </w:style>
  <w:style w:type="paragraph" w:styleId="Titolo3">
    <w:name w:val="heading 3"/>
    <w:basedOn w:val="Normale"/>
    <w:next w:val="Normale"/>
    <w:link w:val="Titolo3Carattere"/>
    <w:qFormat/>
    <w:rsid w:val="006E0FE1"/>
    <w:pPr>
      <w:keepNext/>
      <w:outlineLvl w:val="2"/>
    </w:pPr>
    <w:rPr>
      <w:rFonts w:ascii="Century" w:hAnsi="Century"/>
      <w:b/>
      <w:bCs/>
      <w:i/>
      <w:iCs/>
    </w:rPr>
  </w:style>
  <w:style w:type="paragraph" w:styleId="Titolo4">
    <w:name w:val="heading 4"/>
    <w:basedOn w:val="Normale"/>
    <w:next w:val="Normale"/>
    <w:link w:val="Titolo4Carattere"/>
    <w:qFormat/>
    <w:rsid w:val="006E0FE1"/>
    <w:pPr>
      <w:keepNext/>
      <w:outlineLvl w:val="3"/>
    </w:pPr>
    <w:rPr>
      <w:rFonts w:ascii="Century" w:hAnsi="Century"/>
      <w:b/>
      <w:bCs/>
      <w:i/>
      <w:iCs/>
      <w:sz w:val="20"/>
    </w:rPr>
  </w:style>
  <w:style w:type="paragraph" w:styleId="Titolo5">
    <w:name w:val="heading 5"/>
    <w:basedOn w:val="Normale"/>
    <w:next w:val="Normale"/>
    <w:link w:val="Titolo5Carattere"/>
    <w:qFormat/>
    <w:rsid w:val="006E0FE1"/>
    <w:pPr>
      <w:keepNext/>
      <w:outlineLvl w:val="4"/>
    </w:pPr>
    <w:rPr>
      <w:rFonts w:ascii="Century" w:hAnsi="Century"/>
      <w:b/>
      <w:bCs/>
      <w:i/>
      <w:iCs/>
      <w:sz w:val="18"/>
    </w:rPr>
  </w:style>
  <w:style w:type="paragraph" w:styleId="Titolo7">
    <w:name w:val="heading 7"/>
    <w:basedOn w:val="Normale"/>
    <w:next w:val="Normale"/>
    <w:link w:val="Titolo7Carattere"/>
    <w:qFormat/>
    <w:rsid w:val="006E0FE1"/>
    <w:pPr>
      <w:keepNext/>
      <w:jc w:val="both"/>
      <w:outlineLvl w:val="6"/>
    </w:pPr>
    <w:rPr>
      <w:rFonts w:ascii="Century" w:hAnsi="Century"/>
      <w:b/>
      <w:bCs/>
      <w:i/>
      <w:i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6E0FE1"/>
    <w:rPr>
      <w:rFonts w:ascii="Century" w:eastAsia="Times New Roman" w:hAnsi="Century" w:cs="Times New Roman"/>
      <w:b/>
      <w:bCs/>
      <w:i/>
      <w:iCs/>
      <w:sz w:val="36"/>
      <w:szCs w:val="24"/>
      <w:lang w:eastAsia="it-IT"/>
    </w:rPr>
  </w:style>
  <w:style w:type="character" w:customStyle="1" w:styleId="Titolo3Carattere">
    <w:name w:val="Titolo 3 Carattere"/>
    <w:basedOn w:val="Carpredefinitoparagrafo"/>
    <w:link w:val="Titolo3"/>
    <w:rsid w:val="006E0FE1"/>
    <w:rPr>
      <w:rFonts w:ascii="Century" w:eastAsia="Times New Roman" w:hAnsi="Century" w:cs="Times New Roman"/>
      <w:b/>
      <w:bCs/>
      <w:i/>
      <w:iCs/>
      <w:sz w:val="24"/>
      <w:szCs w:val="24"/>
      <w:lang w:eastAsia="it-IT"/>
    </w:rPr>
  </w:style>
  <w:style w:type="character" w:customStyle="1" w:styleId="Titolo4Carattere">
    <w:name w:val="Titolo 4 Carattere"/>
    <w:basedOn w:val="Carpredefinitoparagrafo"/>
    <w:link w:val="Titolo4"/>
    <w:rsid w:val="006E0FE1"/>
    <w:rPr>
      <w:rFonts w:ascii="Century" w:eastAsia="Times New Roman" w:hAnsi="Century" w:cs="Times New Roman"/>
      <w:b/>
      <w:bCs/>
      <w:i/>
      <w:iCs/>
      <w:sz w:val="20"/>
      <w:szCs w:val="24"/>
      <w:lang w:eastAsia="it-IT"/>
    </w:rPr>
  </w:style>
  <w:style w:type="character" w:customStyle="1" w:styleId="Titolo5Carattere">
    <w:name w:val="Titolo 5 Carattere"/>
    <w:basedOn w:val="Carpredefinitoparagrafo"/>
    <w:link w:val="Titolo5"/>
    <w:rsid w:val="006E0FE1"/>
    <w:rPr>
      <w:rFonts w:ascii="Century" w:eastAsia="Times New Roman" w:hAnsi="Century" w:cs="Times New Roman"/>
      <w:b/>
      <w:bCs/>
      <w:i/>
      <w:iCs/>
      <w:sz w:val="18"/>
      <w:szCs w:val="24"/>
      <w:lang w:eastAsia="it-IT"/>
    </w:rPr>
  </w:style>
  <w:style w:type="character" w:customStyle="1" w:styleId="Titolo7Carattere">
    <w:name w:val="Titolo 7 Carattere"/>
    <w:basedOn w:val="Carpredefinitoparagrafo"/>
    <w:link w:val="Titolo7"/>
    <w:rsid w:val="006E0FE1"/>
    <w:rPr>
      <w:rFonts w:ascii="Century" w:eastAsia="Times New Roman" w:hAnsi="Century" w:cs="Times New Roman"/>
      <w:b/>
      <w:bCs/>
      <w:i/>
      <w:iCs/>
      <w:sz w:val="24"/>
      <w:szCs w:val="24"/>
      <w:lang w:eastAsia="it-IT"/>
    </w:rPr>
  </w:style>
  <w:style w:type="paragraph" w:styleId="Corpotesto">
    <w:name w:val="Body Text"/>
    <w:basedOn w:val="Normale"/>
    <w:link w:val="CorpotestoCarattere"/>
    <w:rsid w:val="006E0FE1"/>
    <w:rPr>
      <w:rFonts w:ascii="Century" w:hAnsi="Century"/>
      <w:b/>
      <w:bCs/>
      <w:i/>
      <w:iCs/>
      <w:sz w:val="20"/>
    </w:rPr>
  </w:style>
  <w:style w:type="character" w:customStyle="1" w:styleId="CorpotestoCarattere">
    <w:name w:val="Corpo testo Carattere"/>
    <w:basedOn w:val="Carpredefinitoparagrafo"/>
    <w:link w:val="Corpotesto"/>
    <w:rsid w:val="006E0FE1"/>
    <w:rPr>
      <w:rFonts w:ascii="Century" w:eastAsia="Times New Roman" w:hAnsi="Century" w:cs="Times New Roman"/>
      <w:b/>
      <w:bCs/>
      <w:i/>
      <w:iCs/>
      <w:sz w:val="20"/>
      <w:szCs w:val="24"/>
      <w:lang w:eastAsia="it-IT"/>
    </w:rPr>
  </w:style>
  <w:style w:type="character" w:styleId="Collegamentoipertestuale">
    <w:name w:val="Hyperlink"/>
    <w:basedOn w:val="Carpredefinitoparagrafo"/>
    <w:rsid w:val="006E0FE1"/>
    <w:rPr>
      <w:color w:val="0000FF"/>
      <w:u w:val="single"/>
    </w:rPr>
  </w:style>
  <w:style w:type="paragraph" w:styleId="Pidipagina">
    <w:name w:val="footer"/>
    <w:basedOn w:val="Normale"/>
    <w:link w:val="PidipaginaCarattere"/>
    <w:rsid w:val="006E0FE1"/>
    <w:pPr>
      <w:tabs>
        <w:tab w:val="center" w:pos="4819"/>
        <w:tab w:val="right" w:pos="9638"/>
      </w:tabs>
    </w:pPr>
  </w:style>
  <w:style w:type="character" w:customStyle="1" w:styleId="PidipaginaCarattere">
    <w:name w:val="Piè di pagina Carattere"/>
    <w:basedOn w:val="Carpredefinitoparagrafo"/>
    <w:link w:val="Pidipagina"/>
    <w:rsid w:val="006E0FE1"/>
    <w:rPr>
      <w:rFonts w:ascii="Times New Roman" w:eastAsia="Times New Roman" w:hAnsi="Times New Roman" w:cs="Times New Roman"/>
      <w:sz w:val="24"/>
      <w:szCs w:val="24"/>
      <w:lang w:eastAsia="it-IT"/>
    </w:rPr>
  </w:style>
  <w:style w:type="character" w:styleId="Numeropagina">
    <w:name w:val="page number"/>
    <w:basedOn w:val="Carpredefinitoparagrafo"/>
    <w:rsid w:val="006E0FE1"/>
  </w:style>
  <w:style w:type="paragraph" w:styleId="Intestazione">
    <w:name w:val="header"/>
    <w:basedOn w:val="Normale"/>
    <w:link w:val="IntestazioneCarattere"/>
    <w:rsid w:val="006E0FE1"/>
    <w:pPr>
      <w:tabs>
        <w:tab w:val="center" w:pos="4819"/>
        <w:tab w:val="right" w:pos="9638"/>
      </w:tabs>
    </w:pPr>
  </w:style>
  <w:style w:type="character" w:customStyle="1" w:styleId="IntestazioneCarattere">
    <w:name w:val="Intestazione Carattere"/>
    <w:basedOn w:val="Carpredefinitoparagrafo"/>
    <w:link w:val="Intestazione"/>
    <w:rsid w:val="006E0FE1"/>
    <w:rPr>
      <w:rFonts w:ascii="Times New Roman" w:eastAsia="Times New Roman" w:hAnsi="Times New Roman" w:cs="Times New Roman"/>
      <w:sz w:val="24"/>
      <w:szCs w:val="24"/>
      <w:lang w:eastAsia="it-IT"/>
    </w:rPr>
  </w:style>
  <w:style w:type="paragraph" w:styleId="Corpodeltesto2">
    <w:name w:val="Body Text 2"/>
    <w:basedOn w:val="Normale"/>
    <w:link w:val="Corpodeltesto2Carattere"/>
    <w:rsid w:val="006E0FE1"/>
    <w:pPr>
      <w:jc w:val="both"/>
    </w:pPr>
    <w:rPr>
      <w:rFonts w:ascii="Century" w:hAnsi="Century"/>
      <w:b/>
      <w:bCs/>
      <w:i/>
      <w:iCs/>
    </w:rPr>
  </w:style>
  <w:style w:type="character" w:customStyle="1" w:styleId="Corpodeltesto2Carattere">
    <w:name w:val="Corpo del testo 2 Carattere"/>
    <w:basedOn w:val="Carpredefinitoparagrafo"/>
    <w:link w:val="Corpodeltesto2"/>
    <w:rsid w:val="006E0FE1"/>
    <w:rPr>
      <w:rFonts w:ascii="Century" w:eastAsia="Times New Roman" w:hAnsi="Century" w:cs="Times New Roman"/>
      <w:b/>
      <w:bCs/>
      <w:i/>
      <w:iCs/>
      <w:sz w:val="24"/>
      <w:szCs w:val="24"/>
      <w:lang w:eastAsia="it-IT"/>
    </w:rPr>
  </w:style>
  <w:style w:type="paragraph" w:styleId="Testofumetto">
    <w:name w:val="Balloon Text"/>
    <w:basedOn w:val="Normale"/>
    <w:link w:val="TestofumettoCarattere"/>
    <w:uiPriority w:val="99"/>
    <w:semiHidden/>
    <w:unhideWhenUsed/>
    <w:rsid w:val="006E0FE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E0FE1"/>
    <w:rPr>
      <w:rFonts w:ascii="Tahoma" w:eastAsia="Times New Roman" w:hAnsi="Tahoma" w:cs="Tahoma"/>
      <w:sz w:val="16"/>
      <w:szCs w:val="16"/>
      <w:lang w:eastAsia="it-IT"/>
    </w:rPr>
  </w:style>
  <w:style w:type="paragraph" w:styleId="Paragrafoelenco">
    <w:name w:val="List Paragraph"/>
    <w:basedOn w:val="Normale"/>
    <w:uiPriority w:val="34"/>
    <w:qFormat/>
    <w:rsid w:val="006A41A2"/>
    <w:pPr>
      <w:ind w:left="720"/>
      <w:contextualSpacing/>
    </w:pPr>
  </w:style>
  <w:style w:type="character" w:styleId="Menzionenonrisolta">
    <w:name w:val="Unresolved Mention"/>
    <w:basedOn w:val="Carpredefinitoparagrafo"/>
    <w:uiPriority w:val="99"/>
    <w:semiHidden/>
    <w:unhideWhenUsed/>
    <w:rsid w:val="00864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unica.com.ai/articolo/1048433"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unica.com.ai/articolo/1048433"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unica.com.ai/articolo/1593540"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lunica.com.ai/articolo/1031999" TargetMode="External"/><Relationship Id="rId4" Type="http://schemas.openxmlformats.org/officeDocument/2006/relationships/webSettings" Target="webSettings.xml"/><Relationship Id="rId9" Type="http://schemas.openxmlformats.org/officeDocument/2006/relationships/hyperlink" Target="https://lunica.com.ai/articolo/1031999"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hyperlink" Target="http://www.studiobelcastro.it" TargetMode="External"/><Relationship Id="rId1" Type="http://schemas.openxmlformats.org/officeDocument/2006/relationships/hyperlink" Target="mailto:claudio.belcastro@studiobelcastr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Pages>
  <Words>686</Words>
  <Characters>3914</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dc:creator>
  <cp:lastModifiedBy>Nodo5</cp:lastModifiedBy>
  <cp:revision>24</cp:revision>
  <cp:lastPrinted>2018-01-16T09:21:00Z</cp:lastPrinted>
  <dcterms:created xsi:type="dcterms:W3CDTF">2017-01-17T14:20:00Z</dcterms:created>
  <dcterms:modified xsi:type="dcterms:W3CDTF">2026-09-23T14:59:00Z</dcterms:modified>
</cp:coreProperties>
</file>