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142A" w14:textId="2352B119" w:rsidR="006E0FE1" w:rsidRPr="006E0FE1" w:rsidRDefault="006E0FE1" w:rsidP="002B4DD3">
      <w:pPr>
        <w:pStyle w:val="Titolo2"/>
        <w:jc w:val="center"/>
        <w:rPr>
          <w:b w:val="0"/>
          <w:bCs w:val="0"/>
          <w:i w:val="0"/>
          <w:iCs w:val="0"/>
          <w:sz w:val="23"/>
          <w:szCs w:val="23"/>
        </w:rPr>
      </w:pPr>
      <w:r w:rsidRPr="006E0FE1">
        <w:rPr>
          <w:sz w:val="42"/>
          <w:szCs w:val="42"/>
        </w:rPr>
        <w:t>STUDIO</w:t>
      </w:r>
      <w:r w:rsidRPr="006E0FE1">
        <w:rPr>
          <w:sz w:val="46"/>
          <w:szCs w:val="46"/>
        </w:rPr>
        <w:t xml:space="preserve">   </w:t>
      </w:r>
      <w:r w:rsidRPr="006E0FE1">
        <w:rPr>
          <w:sz w:val="42"/>
          <w:szCs w:val="42"/>
        </w:rPr>
        <w:t>BELCASTRO</w:t>
      </w:r>
    </w:p>
    <w:p w14:paraId="71037DB3" w14:textId="77777777" w:rsidR="006E0FE1" w:rsidRPr="006E0FE1" w:rsidRDefault="006E0FE1" w:rsidP="006E0FE1">
      <w:pPr>
        <w:pStyle w:val="Titolo3"/>
        <w:rPr>
          <w:sz w:val="23"/>
          <w:szCs w:val="23"/>
        </w:rPr>
      </w:pPr>
      <w:r w:rsidRPr="006E0FE1">
        <w:rPr>
          <w:sz w:val="23"/>
          <w:szCs w:val="23"/>
        </w:rPr>
        <w:t>Dott. Claudio Belcastro</w:t>
      </w:r>
    </w:p>
    <w:p w14:paraId="2DFA3257" w14:textId="77777777" w:rsidR="006E0FE1" w:rsidRPr="006E0FE1" w:rsidRDefault="006E0FE1" w:rsidP="006E0FE1">
      <w:pPr>
        <w:pStyle w:val="Titolo4"/>
        <w:rPr>
          <w:sz w:val="15"/>
          <w:szCs w:val="15"/>
        </w:rPr>
      </w:pPr>
      <w:r w:rsidRPr="006E0FE1">
        <w:rPr>
          <w:sz w:val="15"/>
          <w:szCs w:val="15"/>
        </w:rPr>
        <w:t>Dott. Sergio Policheni</w:t>
      </w:r>
    </w:p>
    <w:p w14:paraId="726A0640" w14:textId="77777777" w:rsidR="006E0FE1" w:rsidRPr="006E0FE1" w:rsidRDefault="006E0FE1" w:rsidP="006E0FE1">
      <w:pPr>
        <w:pStyle w:val="Titolo4"/>
        <w:rPr>
          <w:sz w:val="15"/>
          <w:szCs w:val="15"/>
        </w:rPr>
      </w:pPr>
      <w:r w:rsidRPr="006E0FE1">
        <w:rPr>
          <w:sz w:val="15"/>
          <w:szCs w:val="15"/>
        </w:rPr>
        <w:t>Dott. Antonio Albanese</w:t>
      </w:r>
    </w:p>
    <w:p w14:paraId="687EAC80" w14:textId="77777777" w:rsidR="006E0FE1" w:rsidRPr="006E0FE1" w:rsidRDefault="006E0FE1" w:rsidP="006E0FE1">
      <w:pPr>
        <w:pStyle w:val="Titolo4"/>
        <w:rPr>
          <w:sz w:val="15"/>
          <w:szCs w:val="15"/>
        </w:rPr>
      </w:pPr>
      <w:r w:rsidRPr="006E0FE1">
        <w:rPr>
          <w:sz w:val="15"/>
          <w:szCs w:val="15"/>
        </w:rPr>
        <w:t>Dott. Emanuela Candido</w:t>
      </w:r>
    </w:p>
    <w:p w14:paraId="5EAC9007" w14:textId="77777777" w:rsidR="006E0FE1" w:rsidRPr="006E0FE1" w:rsidRDefault="006E0FE1" w:rsidP="006E0FE1">
      <w:pPr>
        <w:pStyle w:val="Titolo4"/>
        <w:rPr>
          <w:sz w:val="15"/>
          <w:szCs w:val="15"/>
        </w:rPr>
      </w:pPr>
      <w:r w:rsidRPr="006E0FE1">
        <w:rPr>
          <w:sz w:val="15"/>
          <w:szCs w:val="15"/>
        </w:rPr>
        <w:t>Rag. Maria Teresa Cimarosa</w:t>
      </w:r>
    </w:p>
    <w:p w14:paraId="1D1E3B1B" w14:textId="77777777" w:rsidR="006E0FE1" w:rsidRPr="006E0FE1" w:rsidRDefault="006E0FE1" w:rsidP="006E0FE1">
      <w:pPr>
        <w:pStyle w:val="Titolo4"/>
        <w:rPr>
          <w:sz w:val="15"/>
          <w:szCs w:val="15"/>
        </w:rPr>
      </w:pPr>
      <w:r w:rsidRPr="006E0FE1">
        <w:rPr>
          <w:sz w:val="15"/>
          <w:szCs w:val="15"/>
        </w:rPr>
        <w:t>Dott. Saverio Leotta</w:t>
      </w:r>
    </w:p>
    <w:p w14:paraId="2BCE3721" w14:textId="77777777" w:rsidR="006E0FE1" w:rsidRPr="006E0FE1" w:rsidRDefault="006E0FE1" w:rsidP="006E0FE1">
      <w:pPr>
        <w:pStyle w:val="Titolo4"/>
        <w:rPr>
          <w:sz w:val="15"/>
          <w:szCs w:val="15"/>
        </w:rPr>
      </w:pPr>
      <w:r w:rsidRPr="006E0FE1">
        <w:rPr>
          <w:sz w:val="15"/>
          <w:szCs w:val="15"/>
        </w:rPr>
        <w:t>Dott. Cristina Pelle</w:t>
      </w:r>
    </w:p>
    <w:p w14:paraId="2125A8EF" w14:textId="77777777" w:rsidR="006E0FE1" w:rsidRPr="006E0FE1" w:rsidRDefault="006E0FE1" w:rsidP="006E0FE1">
      <w:pPr>
        <w:pStyle w:val="Titolo4"/>
        <w:rPr>
          <w:sz w:val="15"/>
          <w:szCs w:val="15"/>
        </w:rPr>
      </w:pPr>
      <w:r w:rsidRPr="006E0FE1">
        <w:rPr>
          <w:sz w:val="15"/>
          <w:szCs w:val="15"/>
        </w:rPr>
        <w:t>Rag. Caterina Piccolo</w:t>
      </w:r>
    </w:p>
    <w:p w14:paraId="3CCE984A" w14:textId="77777777" w:rsidR="006E0FE1" w:rsidRPr="006E0FE1" w:rsidRDefault="006E0FE1" w:rsidP="006E0FE1">
      <w:pPr>
        <w:pStyle w:val="Titolo4"/>
        <w:rPr>
          <w:sz w:val="15"/>
          <w:szCs w:val="15"/>
        </w:rPr>
      </w:pPr>
      <w:r w:rsidRPr="006E0FE1">
        <w:rPr>
          <w:sz w:val="15"/>
          <w:szCs w:val="15"/>
        </w:rPr>
        <w:t>Rag. Santina Sansotta</w:t>
      </w:r>
    </w:p>
    <w:p w14:paraId="5CB522F3" w14:textId="77777777" w:rsidR="006E0FE1" w:rsidRPr="006E0FE1" w:rsidRDefault="006E0FE1" w:rsidP="006E0FE1">
      <w:pPr>
        <w:pStyle w:val="Titolo4"/>
        <w:rPr>
          <w:sz w:val="19"/>
          <w:szCs w:val="19"/>
        </w:rPr>
      </w:pPr>
    </w:p>
    <w:p w14:paraId="2C0ABCD7" w14:textId="77777777" w:rsidR="006E0FE1" w:rsidRPr="006E0FE1" w:rsidRDefault="006E0FE1" w:rsidP="006E0FE1">
      <w:pPr>
        <w:pStyle w:val="Titolo5"/>
        <w:rPr>
          <w:sz w:val="23"/>
          <w:szCs w:val="23"/>
        </w:rPr>
      </w:pPr>
      <w:r w:rsidRPr="006E0FE1">
        <w:rPr>
          <w:sz w:val="23"/>
          <w:szCs w:val="23"/>
        </w:rPr>
        <w:t xml:space="preserve">Dott. Claudio Belcastro                                                         </w:t>
      </w:r>
    </w:p>
    <w:p w14:paraId="32FB418C" w14:textId="77777777" w:rsidR="006E0FE1" w:rsidRPr="006E0FE1" w:rsidRDefault="006E0FE1" w:rsidP="006E0FE1">
      <w:pPr>
        <w:pStyle w:val="Titolo5"/>
        <w:rPr>
          <w:sz w:val="15"/>
          <w:szCs w:val="15"/>
        </w:rPr>
      </w:pPr>
      <w:r w:rsidRPr="006E0FE1">
        <w:rPr>
          <w:sz w:val="15"/>
          <w:szCs w:val="15"/>
        </w:rPr>
        <w:t>Dottore Commercialista – Revisore Contabile</w:t>
      </w:r>
    </w:p>
    <w:p w14:paraId="6C0E6F99" w14:textId="77777777" w:rsidR="006E0FE1" w:rsidRPr="006E0FE1" w:rsidRDefault="006E0FE1" w:rsidP="006E0FE1">
      <w:pPr>
        <w:pStyle w:val="Titolo5"/>
        <w:rPr>
          <w:bCs w:val="0"/>
          <w:iCs w:val="0"/>
          <w:sz w:val="15"/>
          <w:szCs w:val="15"/>
        </w:rPr>
      </w:pPr>
      <w:r w:rsidRPr="006A0ADA">
        <w:rPr>
          <w:bCs w:val="0"/>
          <w:iCs w:val="0"/>
          <w:sz w:val="15"/>
          <w:szCs w:val="15"/>
        </w:rPr>
        <w:t>c.f. BLC CLD 55S14 D976</w:t>
      </w:r>
      <w:proofErr w:type="gramStart"/>
      <w:r w:rsidRPr="006A0ADA">
        <w:rPr>
          <w:bCs w:val="0"/>
          <w:iCs w:val="0"/>
          <w:sz w:val="15"/>
          <w:szCs w:val="15"/>
        </w:rPr>
        <w:t>H  -</w:t>
      </w:r>
      <w:proofErr w:type="gramEnd"/>
      <w:r w:rsidRPr="006A0ADA">
        <w:rPr>
          <w:bCs w:val="0"/>
          <w:iCs w:val="0"/>
          <w:sz w:val="15"/>
          <w:szCs w:val="15"/>
        </w:rPr>
        <w:t xml:space="preserve">  p.i.  </w:t>
      </w:r>
      <w:r w:rsidRPr="006E0FE1">
        <w:rPr>
          <w:bCs w:val="0"/>
          <w:iCs w:val="0"/>
          <w:sz w:val="15"/>
          <w:szCs w:val="15"/>
        </w:rPr>
        <w:t>00721660801</w:t>
      </w:r>
    </w:p>
    <w:p w14:paraId="5A073701" w14:textId="77777777" w:rsidR="006E0FE1" w:rsidRDefault="006E0FE1" w:rsidP="006E0FE1">
      <w:pPr>
        <w:rPr>
          <w:rFonts w:ascii="Century" w:hAnsi="Century"/>
          <w:b/>
          <w:bCs/>
          <w:i/>
          <w:iCs/>
        </w:rPr>
      </w:pPr>
    </w:p>
    <w:p w14:paraId="0865AB23" w14:textId="77777777" w:rsidR="00913301" w:rsidRDefault="00913301" w:rsidP="006E0FE1">
      <w:pPr>
        <w:rPr>
          <w:rFonts w:ascii="Century" w:hAnsi="Century"/>
          <w:b/>
          <w:bCs/>
          <w:i/>
          <w:iCs/>
        </w:rPr>
      </w:pPr>
    </w:p>
    <w:p w14:paraId="521F580D" w14:textId="13534AC6" w:rsidR="00EE27B3" w:rsidRPr="00EE27B3" w:rsidRDefault="00913301" w:rsidP="00EE27B3">
      <w:pPr>
        <w:rPr>
          <w:rFonts w:ascii="Century" w:hAnsi="Century"/>
          <w:b/>
          <w:bCs/>
          <w:i/>
          <w:iCs/>
        </w:rPr>
      </w:pPr>
      <w:r>
        <w:rPr>
          <w:rFonts w:ascii="Century" w:hAnsi="Century"/>
          <w:b/>
          <w:bCs/>
          <w:i/>
          <w:iCs/>
        </w:rPr>
        <w:t xml:space="preserve">Circolare Informativa </w:t>
      </w:r>
      <w:r w:rsidR="006A41A2">
        <w:rPr>
          <w:rFonts w:ascii="Century" w:hAnsi="Century"/>
          <w:b/>
          <w:bCs/>
          <w:i/>
          <w:iCs/>
        </w:rPr>
        <w:t>n. 0</w:t>
      </w:r>
      <w:r w:rsidR="00864620">
        <w:rPr>
          <w:rFonts w:ascii="Century" w:hAnsi="Century"/>
          <w:b/>
          <w:bCs/>
          <w:i/>
          <w:iCs/>
        </w:rPr>
        <w:t>3</w:t>
      </w:r>
      <w:r w:rsidR="006A41A2">
        <w:rPr>
          <w:rFonts w:ascii="Century" w:hAnsi="Century"/>
          <w:b/>
          <w:bCs/>
          <w:i/>
          <w:iCs/>
        </w:rPr>
        <w:t xml:space="preserve"> </w:t>
      </w:r>
      <w:r>
        <w:rPr>
          <w:rFonts w:ascii="Century" w:hAnsi="Century"/>
          <w:b/>
          <w:bCs/>
          <w:i/>
          <w:iCs/>
        </w:rPr>
        <w:t xml:space="preserve">del </w:t>
      </w:r>
      <w:r w:rsidR="00EE27B3" w:rsidRPr="00EE27B3">
        <w:rPr>
          <w:rFonts w:ascii="Century" w:hAnsi="Century"/>
          <w:b/>
          <w:bCs/>
          <w:i/>
          <w:iCs/>
        </w:rPr>
        <w:t>2</w:t>
      </w:r>
      <w:r w:rsidR="00864620">
        <w:rPr>
          <w:rFonts w:ascii="Century" w:hAnsi="Century"/>
          <w:b/>
          <w:bCs/>
          <w:i/>
          <w:iCs/>
        </w:rPr>
        <w:t>8</w:t>
      </w:r>
      <w:r w:rsidR="00EE27B3" w:rsidRPr="00EE27B3">
        <w:rPr>
          <w:rFonts w:ascii="Century" w:hAnsi="Century"/>
          <w:b/>
          <w:bCs/>
          <w:i/>
          <w:iCs/>
        </w:rPr>
        <w:t>/01/2026</w:t>
      </w:r>
    </w:p>
    <w:p w14:paraId="6800EA9A" w14:textId="77777777" w:rsidR="00EE27B3" w:rsidRDefault="00EE27B3" w:rsidP="00695650">
      <w:pPr>
        <w:rPr>
          <w:rFonts w:ascii="Century" w:hAnsi="Century"/>
          <w:b/>
          <w:bCs/>
          <w:i/>
          <w:iCs/>
        </w:rPr>
      </w:pPr>
    </w:p>
    <w:p w14:paraId="79DC2EB0" w14:textId="46A5F6FC" w:rsidR="00695650" w:rsidRDefault="006A41A2" w:rsidP="00695650">
      <w:pPr>
        <w:rPr>
          <w:rFonts w:ascii="Century" w:hAnsi="Century"/>
          <w:b/>
          <w:bCs/>
          <w:i/>
          <w:iCs/>
        </w:rPr>
      </w:pPr>
      <w:r>
        <w:rPr>
          <w:rFonts w:ascii="Century" w:hAnsi="Century"/>
          <w:b/>
          <w:bCs/>
          <w:i/>
          <w:iCs/>
        </w:rPr>
        <w:t>Indice Argomenti</w:t>
      </w:r>
      <w:r w:rsidR="006E0FE1" w:rsidRPr="002B4DD3">
        <w:rPr>
          <w:rFonts w:ascii="Century" w:hAnsi="Century"/>
          <w:b/>
          <w:bCs/>
          <w:i/>
          <w:iCs/>
        </w:rPr>
        <w:t xml:space="preserve">: </w:t>
      </w:r>
    </w:p>
    <w:p w14:paraId="215CC17B" w14:textId="77777777" w:rsidR="00EE27B3" w:rsidRPr="00EE27B3" w:rsidRDefault="00EE27B3" w:rsidP="00EE27B3">
      <w:pPr>
        <w:pStyle w:val="Corpodeltesto2"/>
        <w:ind w:left="720"/>
        <w:rPr>
          <w:lang w:val="it"/>
        </w:rPr>
      </w:pPr>
    </w:p>
    <w:p w14:paraId="59B61C45" w14:textId="46116B08" w:rsidR="00913301" w:rsidRPr="00864620" w:rsidRDefault="00864620" w:rsidP="00913301">
      <w:pPr>
        <w:pStyle w:val="Corpodeltesto2"/>
        <w:numPr>
          <w:ilvl w:val="0"/>
          <w:numId w:val="18"/>
        </w:numPr>
        <w:rPr>
          <w:lang w:val="it"/>
        </w:rPr>
      </w:pPr>
      <w:r w:rsidRPr="00864620">
        <w:t>Primi chiarimenti su "rottamazione quinquies</w:t>
      </w:r>
      <w:r>
        <w:t>”</w:t>
      </w:r>
    </w:p>
    <w:p w14:paraId="4F71ACC8" w14:textId="77777777" w:rsidR="00EE27B3" w:rsidRDefault="00EE27B3" w:rsidP="00913301">
      <w:pPr>
        <w:pStyle w:val="Corpodeltesto2"/>
        <w:rPr>
          <w:lang w:val="it"/>
        </w:rPr>
      </w:pPr>
    </w:p>
    <w:p w14:paraId="5ADBE623" w14:textId="77777777" w:rsidR="00864620" w:rsidRPr="00864620" w:rsidRDefault="00864620" w:rsidP="00864620">
      <w:pPr>
        <w:pStyle w:val="Corpodeltesto2"/>
        <w:rPr>
          <w:u w:val="single"/>
        </w:rPr>
      </w:pPr>
      <w:r w:rsidRPr="00864620">
        <w:rPr>
          <w:u w:val="single"/>
        </w:rPr>
        <w:t>Approfondimenti rottamazione quinquies</w:t>
      </w:r>
    </w:p>
    <w:p w14:paraId="4118B53D" w14:textId="77777777" w:rsidR="00864620" w:rsidRPr="00864620" w:rsidRDefault="00864620" w:rsidP="00864620">
      <w:pPr>
        <w:pStyle w:val="Corpodeltesto2"/>
      </w:pPr>
      <w:r w:rsidRPr="00864620">
        <w:t>La legge di bilancio 2026 (</w:t>
      </w:r>
      <w:hyperlink r:id="rId7" w:tgtFrame="_blank" w:history="1">
        <w:r w:rsidRPr="00864620">
          <w:rPr>
            <w:rStyle w:val="Collegamentoipertestuale"/>
          </w:rPr>
          <w:t>L. 30 dicembre 2025, n. 199</w:t>
        </w:r>
      </w:hyperlink>
      <w:r w:rsidRPr="00864620">
        <w:t>) introduce la rottamazione-quinquies come nuova definizione agevolata dei carichi affidati all’agente della riscossione, ma con un’impostazione meno onnicomprensiva rispetto al passato e con una particolare attenzione al profilo del rischio da decadenza. </w:t>
      </w:r>
    </w:p>
    <w:p w14:paraId="0297E3E8" w14:textId="77777777" w:rsidR="00864620" w:rsidRDefault="00864620" w:rsidP="00864620">
      <w:pPr>
        <w:pStyle w:val="Corpodeltesto2"/>
        <w:rPr>
          <w:u w:val="single"/>
        </w:rPr>
      </w:pPr>
    </w:p>
    <w:p w14:paraId="6BEDCDE8" w14:textId="7502AC46" w:rsidR="00864620" w:rsidRPr="00864620" w:rsidRDefault="00864620" w:rsidP="00864620">
      <w:pPr>
        <w:pStyle w:val="Corpodeltesto2"/>
        <w:rPr>
          <w:u w:val="single"/>
        </w:rPr>
      </w:pPr>
      <w:r w:rsidRPr="00864620">
        <w:rPr>
          <w:u w:val="single"/>
        </w:rPr>
        <w:t>Stop ai 5 giorni di tolleranza</w:t>
      </w:r>
    </w:p>
    <w:p w14:paraId="1D013AF0" w14:textId="77777777" w:rsidR="00864620" w:rsidRPr="00864620" w:rsidRDefault="00864620" w:rsidP="00864620">
      <w:pPr>
        <w:pStyle w:val="Corpodeltesto2"/>
      </w:pPr>
      <w:r w:rsidRPr="00864620">
        <w:t>Uno dei punti più sensibili è senz'altro la conferma di un approccio “tolleranza zero” per i versamenti tardivi. </w:t>
      </w:r>
    </w:p>
    <w:p w14:paraId="533ED431" w14:textId="77777777" w:rsidR="00864620" w:rsidRPr="00864620" w:rsidRDefault="00864620" w:rsidP="00864620">
      <w:pPr>
        <w:pStyle w:val="Corpodeltesto2"/>
      </w:pPr>
      <w:r w:rsidRPr="00864620">
        <w:t xml:space="preserve">Nelle risposte date al Forum di ItaliaOggi, </w:t>
      </w:r>
      <w:proofErr w:type="spellStart"/>
      <w:r w:rsidRPr="00864620">
        <w:t>l'AdER</w:t>
      </w:r>
      <w:proofErr w:type="spellEnd"/>
      <w:r w:rsidRPr="00864620">
        <w:t xml:space="preserve"> ha evidenziato che anche </w:t>
      </w:r>
      <w:r w:rsidRPr="00864620">
        <w:rPr>
          <w:u w:val="single"/>
        </w:rPr>
        <w:t>un solo giorno</w:t>
      </w:r>
      <w:r w:rsidRPr="00864620">
        <w:t xml:space="preserve"> oltre la scadenza ordinaria fa concorrere la rata ai fini della decadenza (</w:t>
      </w:r>
      <w:r w:rsidRPr="00864620">
        <w:rPr>
          <w:u w:val="single"/>
        </w:rPr>
        <w:t>due rate anche non consecutive</w:t>
      </w:r>
      <w:r w:rsidRPr="00864620">
        <w:t>).</w:t>
      </w:r>
    </w:p>
    <w:p w14:paraId="2C5F2ED3" w14:textId="77777777" w:rsidR="00864620" w:rsidRPr="00864620" w:rsidRDefault="00864620" w:rsidP="00864620">
      <w:pPr>
        <w:pStyle w:val="Corpodeltesto2"/>
      </w:pPr>
      <w:r w:rsidRPr="00864620">
        <w:t>La cosa in sé è coerente con la norma, che disciplina puntualmente le ipotesi di inefficacia della definizione senza riprodurre la clausola di salvaguardia del “tardivo versamento non superiore a cinque giorni” presente in precedenti edizioni. In altri termini, la scadenza diventa un presidio sostanziale e non più solo formale: il rispetto del calendario è parte integrante del beneficio.</w:t>
      </w:r>
    </w:p>
    <w:p w14:paraId="109112A7" w14:textId="77777777" w:rsidR="00864620" w:rsidRDefault="00864620" w:rsidP="00864620">
      <w:pPr>
        <w:pStyle w:val="Corpodeltesto2"/>
        <w:rPr>
          <w:u w:val="single"/>
        </w:rPr>
      </w:pPr>
    </w:p>
    <w:p w14:paraId="5A941204" w14:textId="180EF31B" w:rsidR="00864620" w:rsidRPr="00864620" w:rsidRDefault="00864620" w:rsidP="00864620">
      <w:pPr>
        <w:pStyle w:val="Corpodeltesto2"/>
        <w:rPr>
          <w:u w:val="single"/>
        </w:rPr>
      </w:pPr>
      <w:r w:rsidRPr="00864620">
        <w:rPr>
          <w:u w:val="single"/>
        </w:rPr>
        <w:t>Quali debiti rientrano: definizione a tipologia e non più a magazzino</w:t>
      </w:r>
    </w:p>
    <w:p w14:paraId="7D841A96" w14:textId="77777777" w:rsidR="00864620" w:rsidRPr="00864620" w:rsidRDefault="00864620" w:rsidP="00864620">
      <w:pPr>
        <w:pStyle w:val="Corpodeltesto2"/>
      </w:pPr>
      <w:r w:rsidRPr="00864620">
        <w:t xml:space="preserve">Come chiarito all'evento, </w:t>
      </w:r>
      <w:proofErr w:type="gramStart"/>
      <w:r w:rsidRPr="00864620">
        <w:t>la quinquies</w:t>
      </w:r>
      <w:proofErr w:type="gramEnd"/>
      <w:r w:rsidRPr="00864620">
        <w:t xml:space="preserve"> non si applica indistintamente a tutte le partite affidate alla riscossione. </w:t>
      </w:r>
    </w:p>
    <w:p w14:paraId="4FFCE55A" w14:textId="77777777" w:rsidR="00864620" w:rsidRPr="00864620" w:rsidRDefault="00864620" w:rsidP="00864620">
      <w:pPr>
        <w:pStyle w:val="Corpodeltesto2"/>
      </w:pPr>
      <w:r w:rsidRPr="00864620">
        <w:t>Il comma 82 circoscrive l’ambito oggettivo ai carichi affidati dal 1° gennaio 2000 al 31 dicembre 2023 che derivano dall’omesso versamento di imposte risultanti dalle dichiarazioni annuali e dai controlli automatizzati e formali (artt. </w:t>
      </w:r>
      <w:hyperlink r:id="rId8" w:anchor="toc-59-articolo-36-bis" w:tgtFrame="_blank" w:history="1">
        <w:r w:rsidRPr="00864620">
          <w:rPr>
            <w:rStyle w:val="Collegamentoipertestuale"/>
          </w:rPr>
          <w:t>36-bis</w:t>
        </w:r>
      </w:hyperlink>
      <w:r w:rsidRPr="00864620">
        <w:t> e </w:t>
      </w:r>
      <w:hyperlink r:id="rId9" w:anchor="toc-60-articolo-36-ter" w:tgtFrame="_blank" w:history="1">
        <w:r w:rsidRPr="00864620">
          <w:rPr>
            <w:rStyle w:val="Collegamentoipertestuale"/>
          </w:rPr>
          <w:t>36-ter</w:t>
        </w:r>
      </w:hyperlink>
      <w:r w:rsidRPr="00864620">
        <w:t> DPR 600/1973; </w:t>
      </w:r>
      <w:hyperlink r:id="rId10" w:anchor="art-95" w:tgtFrame="_blank" w:history="1">
        <w:r w:rsidRPr="00864620">
          <w:rPr>
            <w:rStyle w:val="Collegamentoipertestuale"/>
          </w:rPr>
          <w:t>artt. 54-bis</w:t>
        </w:r>
      </w:hyperlink>
      <w:r w:rsidRPr="00864620">
        <w:t> e </w:t>
      </w:r>
      <w:hyperlink r:id="rId11" w:anchor="art-96" w:tgtFrame="_blank" w:history="1">
        <w:r w:rsidRPr="00864620">
          <w:rPr>
            <w:rStyle w:val="Collegamentoipertestuale"/>
          </w:rPr>
          <w:t>54-ter </w:t>
        </w:r>
      </w:hyperlink>
      <w:r w:rsidRPr="00864620">
        <w:t>DPR 633/1972) oppure dall’omesso versamento di contributi INPS, con esclusione di quelli richiesti a seguito di accertamento.</w:t>
      </w:r>
    </w:p>
    <w:p w14:paraId="33F78716" w14:textId="77777777" w:rsidR="00864620" w:rsidRPr="00864620" w:rsidRDefault="00864620" w:rsidP="00864620">
      <w:pPr>
        <w:pStyle w:val="Corpodeltesto2"/>
      </w:pPr>
      <w:r w:rsidRPr="00864620">
        <w:t>Il vantaggio economico segue lo schema tipico: si estingue senza sanzioni e interessi affidati, interessi di mora e aggio, pagando capitale e spese (notifica ed eventuali procedure).</w:t>
      </w:r>
    </w:p>
    <w:p w14:paraId="3A062538" w14:textId="77777777" w:rsidR="00864620" w:rsidRPr="00864620" w:rsidRDefault="00864620" w:rsidP="00864620">
      <w:pPr>
        <w:pStyle w:val="Corpodeltesto2"/>
      </w:pPr>
      <w:r w:rsidRPr="00864620">
        <w:lastRenderedPageBreak/>
        <w:t xml:space="preserve">Sul fronte delle esclusioni, le FAQ ufficiali </w:t>
      </w:r>
      <w:proofErr w:type="spellStart"/>
      <w:r w:rsidRPr="00864620">
        <w:t>dell'AdER</w:t>
      </w:r>
      <w:proofErr w:type="spellEnd"/>
      <w:r w:rsidRPr="00864620">
        <w:t xml:space="preserve"> chiariscono, tra l’altro, che la norma non consente l’adesione per carichi affidati da enti locali e regioni: una precisazione che impatta direttamente la verifica preliminare delle posizioni quando nel fascicolo convivono partite erariali e partite territoriali. </w:t>
      </w:r>
    </w:p>
    <w:p w14:paraId="18CEA119" w14:textId="77777777" w:rsidR="00864620" w:rsidRPr="00864620" w:rsidRDefault="00864620" w:rsidP="00864620">
      <w:pPr>
        <w:pStyle w:val="Corpodeltesto2"/>
      </w:pPr>
      <w:r w:rsidRPr="00864620">
        <w:t>Anche se, proprio in questi giorni, il </w:t>
      </w:r>
      <w:hyperlink r:id="rId12" w:tgtFrame="_blank" w:history="1">
        <w:r w:rsidRPr="00864620">
          <w:rPr>
            <w:rStyle w:val="Collegamentoipertestuale"/>
          </w:rPr>
          <w:t>ministro dell'</w:t>
        </w:r>
        <w:proofErr w:type="spellStart"/>
        <w:r w:rsidRPr="00864620">
          <w:rPr>
            <w:rStyle w:val="Collegamentoipertestuale"/>
          </w:rPr>
          <w:t>Econonia</w:t>
        </w:r>
        <w:proofErr w:type="spellEnd"/>
        <w:r w:rsidRPr="00864620">
          <w:rPr>
            <w:rStyle w:val="Collegamentoipertestuale"/>
          </w:rPr>
          <w:t xml:space="preserve"> Giorgetti ha esortato i Comuni ad abbracciare la rottamazione </w:t>
        </w:r>
      </w:hyperlink>
      <w:r w:rsidRPr="00864620">
        <w:t>per scaricare i carichi (scusate il gioco di parole...) che da troppo tempo prendono polvere dentro ai "magazzini" locali.</w:t>
      </w:r>
    </w:p>
    <w:p w14:paraId="1DA21973" w14:textId="77777777" w:rsidR="00864620" w:rsidRDefault="00864620" w:rsidP="00864620">
      <w:pPr>
        <w:pStyle w:val="Corpodeltesto2"/>
      </w:pPr>
    </w:p>
    <w:p w14:paraId="4A07080F" w14:textId="288551DB" w:rsidR="00864620" w:rsidRPr="00864620" w:rsidRDefault="00864620" w:rsidP="00864620">
      <w:pPr>
        <w:pStyle w:val="Corpodeltesto2"/>
        <w:rPr>
          <w:u w:val="single"/>
        </w:rPr>
      </w:pPr>
      <w:r w:rsidRPr="00864620">
        <w:rPr>
          <w:u w:val="single"/>
        </w:rPr>
        <w:t>Calendario lungo, ma rigidissimo</w:t>
      </w:r>
    </w:p>
    <w:p w14:paraId="0ACD0856" w14:textId="77777777" w:rsidR="00864620" w:rsidRPr="00864620" w:rsidRDefault="00864620" w:rsidP="00864620">
      <w:pPr>
        <w:pStyle w:val="Corpodeltesto2"/>
      </w:pPr>
      <w:r w:rsidRPr="00864620">
        <w:t>La finestra di adesione è fissata al 30 aprile 2026: entro questa data il debitore manifesta la volontà di aderire con dichiarazione trasmessa con modalità esclusivamente telematiche, scegliendo anche il numero di rate. </w:t>
      </w:r>
    </w:p>
    <w:p w14:paraId="76C57965" w14:textId="77777777" w:rsidR="00864620" w:rsidRPr="00864620" w:rsidRDefault="00864620" w:rsidP="00864620">
      <w:pPr>
        <w:pStyle w:val="Corpodeltesto2"/>
      </w:pPr>
      <w:proofErr w:type="spellStart"/>
      <w:r w:rsidRPr="00864620">
        <w:t>AdER</w:t>
      </w:r>
      <w:proofErr w:type="spellEnd"/>
      <w:r w:rsidRPr="00864620">
        <w:t>, entro il 30 giugno 2026, comunica l’ammontare complessivo dovuto e quello delle singole rate - con rata non inferiore a 100 euro - oltre alle relative scadenze.</w:t>
      </w:r>
    </w:p>
    <w:p w14:paraId="10CF13B3" w14:textId="77777777" w:rsidR="00864620" w:rsidRPr="00864620" w:rsidRDefault="00864620" w:rsidP="00864620">
      <w:pPr>
        <w:pStyle w:val="Corpodeltesto2"/>
      </w:pPr>
      <w:r w:rsidRPr="00864620">
        <w:t>Come sappiamo, il pagamento può avvenire in unica soluzione entro il 31 luglio 2026 oppure in un massimo di 54 rate bimestrali di pari importo, con tre scadenze nel 2026 (31 luglio, 30 settembre, 30 novembre) e poi un calendario “a cadenza fissa” dal 2027 (31 gennaio, 31 marzo, 31 maggio, 31 luglio, 30 settembre, 30 novembre), fino alle ultime rate nel 2035. In caso di rateazione sono dovuti, dal 1° agosto 2026, interessi al tasso annuo del 3% e, soprattutto, la norma esclude l’applicazione dell’</w:t>
      </w:r>
      <w:hyperlink r:id="rId13" w:anchor="toc-25-articolo-19" w:tgtFrame="_blank" w:history="1">
        <w:r w:rsidRPr="00864620">
          <w:rPr>
            <w:rStyle w:val="Collegamentoipertestuale"/>
          </w:rPr>
          <w:t>art. 19 DPR 602/1973 </w:t>
        </w:r>
      </w:hyperlink>
      <w:r w:rsidRPr="00864620">
        <w:t>al piano definitorio.</w:t>
      </w:r>
    </w:p>
    <w:p w14:paraId="0010CD6F" w14:textId="77777777" w:rsidR="00864620" w:rsidRDefault="00864620" w:rsidP="00864620">
      <w:pPr>
        <w:pStyle w:val="Corpodeltesto2"/>
        <w:rPr>
          <w:u w:val="single"/>
        </w:rPr>
      </w:pPr>
    </w:p>
    <w:p w14:paraId="7333852D" w14:textId="6EB710EA" w:rsidR="00864620" w:rsidRPr="00864620" w:rsidRDefault="00864620" w:rsidP="00864620">
      <w:pPr>
        <w:pStyle w:val="Corpodeltesto2"/>
        <w:rPr>
          <w:u w:val="single"/>
        </w:rPr>
      </w:pPr>
      <w:r w:rsidRPr="00864620">
        <w:rPr>
          <w:u w:val="single"/>
        </w:rPr>
        <w:t>Quando scatta la decadenza</w:t>
      </w:r>
    </w:p>
    <w:p w14:paraId="1A8916AC" w14:textId="77777777" w:rsidR="00864620" w:rsidRPr="00864620" w:rsidRDefault="00864620" w:rsidP="00864620">
      <w:pPr>
        <w:pStyle w:val="Corpodeltesto2"/>
      </w:pPr>
      <w:r w:rsidRPr="00864620">
        <w:t>La disciplina della perdita dei benefici è scolpita in modo netto. </w:t>
      </w:r>
    </w:p>
    <w:p w14:paraId="183779C3" w14:textId="77777777" w:rsidR="00864620" w:rsidRPr="00864620" w:rsidRDefault="00864620" w:rsidP="00864620">
      <w:pPr>
        <w:pStyle w:val="Corpodeltesto2"/>
      </w:pPr>
      <w:r w:rsidRPr="00864620">
        <w:t>La definizione non produce effetti, e i versamenti restano acquisiti a titolo di acconto senza estinzione del residuo, in caso di mancato o insufficiente versamento dell’unica rata, oppure di due rate anche non consecutive, oppure dell’ultima rata.</w:t>
      </w:r>
    </w:p>
    <w:p w14:paraId="3609EB03" w14:textId="77777777" w:rsidR="00864620" w:rsidRDefault="00864620" w:rsidP="00864620">
      <w:pPr>
        <w:pStyle w:val="Corpodeltesto2"/>
      </w:pPr>
    </w:p>
    <w:p w14:paraId="2346E6F0" w14:textId="1FA5C882" w:rsidR="00864620" w:rsidRPr="00864620" w:rsidRDefault="00864620" w:rsidP="00864620">
      <w:pPr>
        <w:pStyle w:val="Corpodeltesto2"/>
        <w:rPr>
          <w:u w:val="single"/>
        </w:rPr>
      </w:pPr>
      <w:r w:rsidRPr="00864620">
        <w:rPr>
          <w:u w:val="single"/>
        </w:rPr>
        <w:t>Quali rapporti con rateazioni in essere</w:t>
      </w:r>
    </w:p>
    <w:p w14:paraId="72164865" w14:textId="77777777" w:rsidR="00864620" w:rsidRPr="00864620" w:rsidRDefault="00864620" w:rsidP="00864620">
      <w:pPr>
        <w:pStyle w:val="Corpodeltesto2"/>
      </w:pPr>
      <w:r w:rsidRPr="00864620">
        <w:t>La presentazione della domanda produce effetti di tutela immediata sui carichi definibili: sospensione dei termini di prescrizione o decadenza, stop alle nuove azioni cautelari ed esecutive e blocco della prosecuzione dell’esecutivo, salvo il caso del primo incanto già positivo. </w:t>
      </w:r>
    </w:p>
    <w:p w14:paraId="5BE44845" w14:textId="77777777" w:rsidR="00864620" w:rsidRPr="00864620" w:rsidRDefault="00864620" w:rsidP="00864620">
      <w:pPr>
        <w:pStyle w:val="Corpodeltesto2"/>
      </w:pPr>
      <w:r w:rsidRPr="00864620">
        <w:t>Restano invece fermi e ipoteche già iscritti. </w:t>
      </w:r>
    </w:p>
    <w:p w14:paraId="5FB56963" w14:textId="77777777" w:rsidR="00864620" w:rsidRPr="00864620" w:rsidRDefault="00864620" w:rsidP="00864620">
      <w:pPr>
        <w:pStyle w:val="Corpodeltesto2"/>
      </w:pPr>
      <w:r w:rsidRPr="00864620">
        <w:t>Questo impianto è ripreso anche nelle FAQ, che riepilogano l’effetto “congelante” della domanda sulle iniziative dell’agente della riscossione.</w:t>
      </w:r>
    </w:p>
    <w:p w14:paraId="4D98F180" w14:textId="77777777" w:rsidR="00864620" w:rsidRPr="00864620" w:rsidRDefault="00864620" w:rsidP="00864620">
      <w:pPr>
        <w:pStyle w:val="Corpodeltesto2"/>
      </w:pPr>
      <w:r w:rsidRPr="00864620">
        <w:t>C’è però un passaggio particolarmente importante: per i debiti definibili oggetto di domanda, al 31 luglio 2026 le dilazioni già sospese sono automaticamente revocate e non possono essere accordate nuove dilazioni ex art. 19 DPR 602/1973. </w:t>
      </w:r>
    </w:p>
    <w:p w14:paraId="7F75A2F9" w14:textId="77777777" w:rsidR="00864620" w:rsidRPr="00864620" w:rsidRDefault="00864620" w:rsidP="00864620">
      <w:pPr>
        <w:pStyle w:val="Corpodeltesto2"/>
      </w:pPr>
      <w:r w:rsidRPr="00864620">
        <w:t>In sostanza, l’adesione sospende l’ordinario, ma poi lo chiude: se il contribuente non regge la prima o unica rata o imbocca un percorso che sfocia nella decadenza, il rientro tramite rateazione ordinaria sugli stessi carichi non è più una via automaticamente praticabile.</w:t>
      </w:r>
    </w:p>
    <w:p w14:paraId="79F24508" w14:textId="77777777" w:rsidR="00864620" w:rsidRDefault="00864620" w:rsidP="00864620">
      <w:pPr>
        <w:pStyle w:val="Corpodeltesto2"/>
      </w:pPr>
    </w:p>
    <w:p w14:paraId="5EFA24BD" w14:textId="358993A7" w:rsidR="00864620" w:rsidRPr="00864620" w:rsidRDefault="00864620" w:rsidP="00864620">
      <w:pPr>
        <w:pStyle w:val="Corpodeltesto2"/>
        <w:rPr>
          <w:u w:val="single"/>
        </w:rPr>
      </w:pPr>
      <w:r w:rsidRPr="00864620">
        <w:rPr>
          <w:u w:val="single"/>
        </w:rPr>
        <w:t xml:space="preserve">La gestione del residuo non definibile secondo </w:t>
      </w:r>
      <w:proofErr w:type="spellStart"/>
      <w:r w:rsidRPr="00864620">
        <w:rPr>
          <w:u w:val="single"/>
        </w:rPr>
        <w:t>AdER</w:t>
      </w:r>
      <w:proofErr w:type="spellEnd"/>
    </w:p>
    <w:p w14:paraId="3D605149" w14:textId="77777777" w:rsidR="00864620" w:rsidRPr="00864620" w:rsidRDefault="00864620" w:rsidP="00864620">
      <w:pPr>
        <w:pStyle w:val="Corpodeltesto2"/>
      </w:pPr>
      <w:r w:rsidRPr="00864620">
        <w:lastRenderedPageBreak/>
        <w:t>Un’ulteriore ricaduta operativa, emersa nelle risposte riportate in occasione del Forum dei Commercialisti di ItaliaOggi, riguarda le rateazioni ordinarie miste, cioè quelle che includono carichi definibili e non definibili.</w:t>
      </w:r>
    </w:p>
    <w:p w14:paraId="331B2334" w14:textId="77777777" w:rsidR="00864620" w:rsidRPr="00864620" w:rsidRDefault="00864620" w:rsidP="00864620">
      <w:pPr>
        <w:pStyle w:val="Corpodeltesto2"/>
      </w:pPr>
      <w:r w:rsidRPr="00864620">
        <w:t xml:space="preserve">In questo contesto </w:t>
      </w:r>
      <w:proofErr w:type="spellStart"/>
      <w:r w:rsidRPr="00864620">
        <w:t>l'AdER</w:t>
      </w:r>
      <w:proofErr w:type="spellEnd"/>
      <w:r w:rsidRPr="00864620">
        <w:t xml:space="preserve"> ha confermato la possibilità di proseguire la dilazione sulle sole poste non rientranti nella definizione, utilizzando i canali di pagamento disponibili, e di arrivare a un ricalcolo del piano per isolare il residuo non rottamabile. </w:t>
      </w:r>
    </w:p>
    <w:p w14:paraId="332258E2" w14:textId="77777777" w:rsidR="00864620" w:rsidRPr="00864620" w:rsidRDefault="00864620" w:rsidP="00864620">
      <w:pPr>
        <w:pStyle w:val="Corpodeltesto2"/>
      </w:pPr>
      <w:r w:rsidRPr="00864620">
        <w:t xml:space="preserve">Indicazione che, se applicata in modo coerente, consentirà di evitare che l’adesione </w:t>
      </w:r>
      <w:proofErr w:type="gramStart"/>
      <w:r w:rsidRPr="00864620">
        <w:t>alla quinquies</w:t>
      </w:r>
      <w:proofErr w:type="gramEnd"/>
      <w:r w:rsidRPr="00864620">
        <w:t xml:space="preserve"> interrompa la regolarizzazione delle componenti escluse.</w:t>
      </w:r>
    </w:p>
    <w:p w14:paraId="20C405A1" w14:textId="77777777" w:rsidR="00864620" w:rsidRDefault="00864620" w:rsidP="00864620">
      <w:pPr>
        <w:pStyle w:val="Corpodeltesto2"/>
      </w:pPr>
    </w:p>
    <w:p w14:paraId="47B8AB85" w14:textId="5E4F3C2A" w:rsidR="00864620" w:rsidRPr="00864620" w:rsidRDefault="00864620" w:rsidP="00864620">
      <w:pPr>
        <w:pStyle w:val="Corpodeltesto2"/>
        <w:rPr>
          <w:u w:val="single"/>
        </w:rPr>
      </w:pPr>
      <w:r w:rsidRPr="00864620">
        <w:rPr>
          <w:u w:val="single"/>
        </w:rPr>
        <w:t xml:space="preserve">L'importanza della </w:t>
      </w:r>
      <w:proofErr w:type="spellStart"/>
      <w:proofErr w:type="gramStart"/>
      <w:r w:rsidRPr="00864620">
        <w:rPr>
          <w:u w:val="single"/>
        </w:rPr>
        <w:t>pre</w:t>
      </w:r>
      <w:proofErr w:type="spellEnd"/>
      <w:r w:rsidRPr="00864620">
        <w:rPr>
          <w:u w:val="single"/>
        </w:rPr>
        <w:t>-istruttoria</w:t>
      </w:r>
      <w:proofErr w:type="gramEnd"/>
      <w:r w:rsidRPr="00864620">
        <w:rPr>
          <w:u w:val="single"/>
        </w:rPr>
        <w:t xml:space="preserve"> tecnica </w:t>
      </w:r>
    </w:p>
    <w:p w14:paraId="1298E9DB" w14:textId="77777777" w:rsidR="00864620" w:rsidRPr="00864620" w:rsidRDefault="00864620" w:rsidP="00864620">
      <w:pPr>
        <w:pStyle w:val="Corpodeltesto2"/>
      </w:pPr>
      <w:r w:rsidRPr="00864620">
        <w:t xml:space="preserve">Il tratto distintivo </w:t>
      </w:r>
      <w:proofErr w:type="gramStart"/>
      <w:r w:rsidRPr="00864620">
        <w:t>della quinquies</w:t>
      </w:r>
      <w:proofErr w:type="gramEnd"/>
      <w:r w:rsidRPr="00864620">
        <w:t>, più ancora dell’orizzonte lungo delle 54 rate, è la combinazione fra perimetro selettivo dei carichi e rigidità del rispetto delle scadenze. </w:t>
      </w:r>
    </w:p>
    <w:p w14:paraId="0F50368D" w14:textId="77777777" w:rsidR="00864620" w:rsidRPr="00864620" w:rsidRDefault="00864620" w:rsidP="00864620">
      <w:pPr>
        <w:pStyle w:val="Corpodeltesto2"/>
      </w:pPr>
      <w:r w:rsidRPr="00864620">
        <w:t xml:space="preserve">La </w:t>
      </w:r>
      <w:proofErr w:type="spellStart"/>
      <w:proofErr w:type="gramStart"/>
      <w:r w:rsidRPr="00864620">
        <w:t>pre</w:t>
      </w:r>
      <w:proofErr w:type="spellEnd"/>
      <w:r w:rsidRPr="00864620">
        <w:t>-istruttoria</w:t>
      </w:r>
      <w:proofErr w:type="gramEnd"/>
      <w:r w:rsidRPr="00864620">
        <w:t xml:space="preserve"> deve quindi partire dall’inquadramento oggettivo ex comma 82 (dichiarato/controlli automatizzati e formali; INPS senza accertamento) e dalle esclusioni, incluse quelle richiamate nelle FAQ per i carichi territoriali.</w:t>
      </w:r>
    </w:p>
    <w:p w14:paraId="13497759" w14:textId="77777777" w:rsidR="00864620" w:rsidRPr="00864620" w:rsidRDefault="00864620" w:rsidP="00864620">
      <w:pPr>
        <w:pStyle w:val="Corpodeltesto2"/>
      </w:pPr>
      <w:r w:rsidRPr="00864620">
        <w:t>Solo dopo ha senso ragionare su convenienza e sostenibilità finanziaria del calendario. Perché, in questa edizione, il beneficio non si protegge, per così dire, con un margine di tolleranza, ma, molto più banalmente e molto più severamente, con l’organizzazione dei pagamenti.</w:t>
      </w:r>
    </w:p>
    <w:p w14:paraId="2C87320D" w14:textId="77777777" w:rsidR="00864620" w:rsidRPr="00913301" w:rsidRDefault="00864620" w:rsidP="00913301">
      <w:pPr>
        <w:pStyle w:val="Corpodeltesto2"/>
        <w:rPr>
          <w:lang w:val="it"/>
        </w:rPr>
      </w:pPr>
    </w:p>
    <w:sectPr w:rsidR="00864620" w:rsidRPr="00913301" w:rsidSect="002B4DD3">
      <w:headerReference w:type="default" r:id="rId14"/>
      <w:footerReference w:type="even" r:id="rId15"/>
      <w:footerReference w:type="default" r:id="rId16"/>
      <w:footerReference w:type="first" r:id="rId17"/>
      <w:pgSz w:w="11906" w:h="16838" w:code="9"/>
      <w:pgMar w:top="1134" w:right="1134" w:bottom="1134" w:left="1134" w:header="709" w:footer="709" w:gutter="0"/>
      <w:cols w:sep="1"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24EF2" w14:textId="77777777" w:rsidR="00637D2C" w:rsidRDefault="00637D2C" w:rsidP="00A32F6D">
      <w:r>
        <w:separator/>
      </w:r>
    </w:p>
  </w:endnote>
  <w:endnote w:type="continuationSeparator" w:id="0">
    <w:p w14:paraId="465E12C1" w14:textId="77777777" w:rsidR="00637D2C" w:rsidRDefault="00637D2C" w:rsidP="00A3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09DB"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end"/>
    </w:r>
  </w:p>
  <w:p w14:paraId="2B47EDB4" w14:textId="77777777" w:rsidR="006A0ADA" w:rsidRPr="006E0FE1" w:rsidRDefault="006A0ADA">
    <w:pPr>
      <w:pStyle w:val="Pidipagina"/>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B6E5"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separate"/>
    </w:r>
    <w:r w:rsidR="00627F03">
      <w:rPr>
        <w:rStyle w:val="Numeropagina"/>
        <w:noProof/>
        <w:sz w:val="23"/>
        <w:szCs w:val="23"/>
      </w:rPr>
      <w:t>2</w:t>
    </w:r>
    <w:r w:rsidRPr="006E0FE1">
      <w:rPr>
        <w:rStyle w:val="Numeropagina"/>
        <w:sz w:val="23"/>
        <w:szCs w:val="23"/>
      </w:rPr>
      <w:fldChar w:fldCharType="end"/>
    </w:r>
  </w:p>
  <w:p w14:paraId="57BB564B" w14:textId="77777777" w:rsidR="006A0ADA" w:rsidRPr="006E0FE1" w:rsidRDefault="006A0ADA">
    <w:pPr>
      <w:pStyle w:val="Pidipagina"/>
      <w:jc w:val="center"/>
      <w:rPr>
        <w:rFonts w:ascii="Century" w:hAnsi="Century"/>
        <w:b/>
        <w:bCs/>
        <w:i/>
        <w:iCs/>
        <w:sz w:val="19"/>
        <w:szCs w:val="19"/>
      </w:rPr>
    </w:pPr>
  </w:p>
  <w:p w14:paraId="48EA5E27" w14:textId="77777777" w:rsidR="006A0ADA" w:rsidRPr="006E0FE1" w:rsidRDefault="006A0ADA">
    <w:pPr>
      <w:pStyle w:val="Pidipagina"/>
      <w:jc w:val="center"/>
      <w:rPr>
        <w:rFonts w:ascii="Century" w:hAnsi="Century"/>
        <w:b/>
        <w:bCs/>
        <w:i/>
        <w:iCs/>
        <w:sz w:val="19"/>
        <w:szCs w:val="19"/>
      </w:rPr>
    </w:pPr>
  </w:p>
  <w:p w14:paraId="622ACF04" w14:textId="77777777" w:rsidR="006A0ADA" w:rsidRPr="006E0FE1" w:rsidRDefault="006A0ADA">
    <w:pPr>
      <w:pStyle w:val="Pidipagina"/>
      <w:jc w:val="center"/>
      <w:rPr>
        <w:rFonts w:ascii="Century" w:hAnsi="Century"/>
        <w:b/>
        <w:bCs/>
        <w:i/>
        <w:iCs/>
        <w:sz w:val="19"/>
        <w:szCs w:val="19"/>
      </w:rPr>
    </w:pPr>
    <w:r w:rsidRPr="006E0FE1">
      <w:rPr>
        <w:rFonts w:ascii="Century" w:hAnsi="Century"/>
        <w:b/>
        <w:bCs/>
        <w:i/>
        <w:iCs/>
        <w:sz w:val="19"/>
        <w:szCs w:val="19"/>
      </w:rPr>
      <w:t xml:space="preserve">116    </w:t>
    </w:r>
    <w:proofErr w:type="gramStart"/>
    <w:r w:rsidRPr="006E0FE1">
      <w:rPr>
        <w:rFonts w:ascii="Century" w:hAnsi="Century"/>
        <w:b/>
        <w:bCs/>
        <w:i/>
        <w:iCs/>
        <w:sz w:val="19"/>
        <w:szCs w:val="19"/>
      </w:rPr>
      <w:t>Via  Marconi</w:t>
    </w:r>
    <w:proofErr w:type="gramEnd"/>
    <w:r w:rsidRPr="006E0FE1">
      <w:rPr>
        <w:rFonts w:ascii="Century" w:hAnsi="Century"/>
        <w:b/>
        <w:bCs/>
        <w:i/>
        <w:iCs/>
        <w:sz w:val="19"/>
        <w:szCs w:val="19"/>
      </w:rPr>
      <w:t xml:space="preserve">    -    89044    Locri </w:t>
    </w:r>
    <w:proofErr w:type="gramStart"/>
    <w:r w:rsidRPr="006E0FE1">
      <w:rPr>
        <w:rFonts w:ascii="Century" w:hAnsi="Century"/>
        <w:b/>
        <w:bCs/>
        <w:i/>
        <w:iCs/>
        <w:sz w:val="19"/>
        <w:szCs w:val="19"/>
      </w:rPr>
      <w:t xml:space="preserve">   (</w:t>
    </w:r>
    <w:proofErr w:type="gramEnd"/>
    <w:r w:rsidRPr="006E0FE1">
      <w:rPr>
        <w:rFonts w:ascii="Century" w:hAnsi="Century"/>
        <w:b/>
        <w:bCs/>
        <w:i/>
        <w:iCs/>
        <w:sz w:val="19"/>
        <w:szCs w:val="19"/>
      </w:rPr>
      <w:t>RC)</w:t>
    </w:r>
  </w:p>
  <w:p w14:paraId="1F54A5EB" w14:textId="77777777" w:rsidR="006A0ADA" w:rsidRPr="006E0FE1" w:rsidRDefault="006A0ADA">
    <w:pPr>
      <w:pStyle w:val="Pidipagina"/>
      <w:jc w:val="center"/>
      <w:rPr>
        <w:rFonts w:ascii="Century" w:hAnsi="Century"/>
        <w:b/>
        <w:bCs/>
        <w:i/>
        <w:iCs/>
        <w:sz w:val="23"/>
        <w:szCs w:val="23"/>
      </w:rPr>
    </w:pPr>
    <w:r w:rsidRPr="006E0FE1">
      <w:rPr>
        <w:rFonts w:ascii="Century" w:hAnsi="Century"/>
        <w:b/>
        <w:bCs/>
        <w:i/>
        <w:iCs/>
        <w:sz w:val="19"/>
        <w:szCs w:val="19"/>
      </w:rPr>
      <w:t>Tel.    0964   21530    Fax   0964   22151    e-mail   belcastro@epizefiri.it</w:t>
    </w:r>
  </w:p>
  <w:p w14:paraId="0D6DFD91" w14:textId="77777777" w:rsidR="006A0ADA" w:rsidRPr="006E0FE1" w:rsidRDefault="006A0ADA">
    <w:pPr>
      <w:pStyle w:val="Pidipagina"/>
      <w:ind w:right="360"/>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820E" w14:textId="77777777" w:rsidR="006A0ADA" w:rsidRPr="006E0FE1" w:rsidRDefault="006A0ADA" w:rsidP="006A0ADA">
    <w:pPr>
      <w:pStyle w:val="Pidipagina"/>
      <w:jc w:val="center"/>
      <w:rPr>
        <w:rFonts w:ascii="Century" w:hAnsi="Century"/>
        <w:b/>
        <w:bCs/>
        <w:i/>
        <w:iCs/>
        <w:sz w:val="19"/>
        <w:szCs w:val="19"/>
      </w:rPr>
    </w:pPr>
  </w:p>
  <w:p w14:paraId="19140A16" w14:textId="77777777" w:rsidR="006A0ADA" w:rsidRPr="006E0FE1" w:rsidRDefault="006A0ADA" w:rsidP="006A0ADA">
    <w:pPr>
      <w:pStyle w:val="Pidipagina"/>
      <w:jc w:val="center"/>
      <w:rPr>
        <w:rFonts w:ascii="Century" w:hAnsi="Century"/>
        <w:b/>
        <w:bCs/>
        <w:i/>
        <w:iCs/>
        <w:sz w:val="19"/>
        <w:szCs w:val="19"/>
      </w:rPr>
    </w:pPr>
  </w:p>
  <w:p w14:paraId="30D3ADE8" w14:textId="77777777" w:rsidR="006A0ADA" w:rsidRPr="006E0FE1" w:rsidRDefault="006A0ADA" w:rsidP="006A0ADA">
    <w:pPr>
      <w:pStyle w:val="Pidipagina"/>
      <w:jc w:val="center"/>
      <w:rPr>
        <w:rFonts w:ascii="Century" w:hAnsi="Century"/>
        <w:b/>
        <w:bCs/>
        <w:i/>
        <w:iCs/>
        <w:sz w:val="19"/>
        <w:szCs w:val="19"/>
      </w:rPr>
    </w:pPr>
  </w:p>
  <w:p w14:paraId="43C374CC" w14:textId="77777777" w:rsidR="006A0ADA" w:rsidRPr="006E0FE1" w:rsidRDefault="006A0ADA" w:rsidP="006A0ADA">
    <w:pPr>
      <w:pStyle w:val="Pidipagina"/>
      <w:jc w:val="center"/>
      <w:rPr>
        <w:rFonts w:ascii="Century" w:hAnsi="Century"/>
        <w:b/>
        <w:i/>
        <w:sz w:val="19"/>
        <w:szCs w:val="19"/>
      </w:rPr>
    </w:pPr>
    <w:r w:rsidRPr="006E0FE1">
      <w:rPr>
        <w:rFonts w:ascii="Century" w:hAnsi="Century"/>
        <w:b/>
        <w:i/>
        <w:sz w:val="19"/>
        <w:szCs w:val="19"/>
      </w:rPr>
      <w:t xml:space="preserve">116    </w:t>
    </w:r>
    <w:proofErr w:type="gramStart"/>
    <w:r w:rsidRPr="006E0FE1">
      <w:rPr>
        <w:rFonts w:ascii="Century" w:hAnsi="Century"/>
        <w:b/>
        <w:i/>
        <w:sz w:val="19"/>
        <w:szCs w:val="19"/>
      </w:rPr>
      <w:t>Via  Marconi</w:t>
    </w:r>
    <w:proofErr w:type="gramEnd"/>
    <w:r w:rsidRPr="006E0FE1">
      <w:rPr>
        <w:rFonts w:ascii="Century" w:hAnsi="Century"/>
        <w:b/>
        <w:i/>
        <w:sz w:val="19"/>
        <w:szCs w:val="19"/>
      </w:rPr>
      <w:t xml:space="preserve">    -    89044    Locri </w:t>
    </w:r>
    <w:proofErr w:type="gramStart"/>
    <w:r w:rsidRPr="006E0FE1">
      <w:rPr>
        <w:rFonts w:ascii="Century" w:hAnsi="Century"/>
        <w:b/>
        <w:i/>
        <w:sz w:val="19"/>
        <w:szCs w:val="19"/>
      </w:rPr>
      <w:t xml:space="preserve">   (RC)   </w:t>
    </w:r>
    <w:proofErr w:type="gramEnd"/>
    <w:r w:rsidRPr="006E0FE1">
      <w:rPr>
        <w:rFonts w:ascii="Century" w:hAnsi="Century"/>
        <w:b/>
        <w:i/>
        <w:sz w:val="19"/>
        <w:szCs w:val="19"/>
      </w:rPr>
      <w:t xml:space="preserve">   -     Tel.    0964   21530    Fax   0964   22151    </w:t>
    </w:r>
  </w:p>
  <w:p w14:paraId="3C6495F1" w14:textId="77777777" w:rsidR="006A0ADA" w:rsidRPr="006E0FE1" w:rsidRDefault="006A0ADA" w:rsidP="006A0ADA">
    <w:pPr>
      <w:pStyle w:val="Corpotesto"/>
      <w:jc w:val="center"/>
      <w:rPr>
        <w:sz w:val="19"/>
        <w:szCs w:val="19"/>
      </w:rPr>
    </w:pPr>
    <w:r w:rsidRPr="006E0FE1">
      <w:rPr>
        <w:sz w:val="19"/>
        <w:szCs w:val="19"/>
      </w:rPr>
      <w:t xml:space="preserve">e-mail </w:t>
    </w:r>
    <w:hyperlink r:id="rId1" w:history="1">
      <w:r w:rsidRPr="006E0FE1">
        <w:rPr>
          <w:rStyle w:val="Collegamentoipertestuale"/>
          <w:sz w:val="19"/>
          <w:szCs w:val="19"/>
        </w:rPr>
        <w:t>claudio.belcastro@studiobelcastro.it</w:t>
      </w:r>
    </w:hyperlink>
    <w:r w:rsidRPr="006E0FE1">
      <w:rPr>
        <w:sz w:val="19"/>
        <w:szCs w:val="19"/>
      </w:rPr>
      <w:t xml:space="preserve"> - web </w:t>
    </w:r>
    <w:hyperlink r:id="rId2" w:history="1">
      <w:r w:rsidRPr="006E0FE1">
        <w:rPr>
          <w:rStyle w:val="Collegamentoipertestuale"/>
          <w:sz w:val="19"/>
          <w:szCs w:val="19"/>
        </w:rPr>
        <w:t>www.studiobelcastro.it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5FAC4" w14:textId="77777777" w:rsidR="00637D2C" w:rsidRDefault="00637D2C" w:rsidP="00A32F6D">
      <w:r>
        <w:separator/>
      </w:r>
    </w:p>
  </w:footnote>
  <w:footnote w:type="continuationSeparator" w:id="0">
    <w:p w14:paraId="20844B37" w14:textId="77777777" w:rsidR="00637D2C" w:rsidRDefault="00637D2C" w:rsidP="00A3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747A" w14:textId="77777777" w:rsidR="006A0ADA" w:rsidRPr="006E0FE1" w:rsidRDefault="006A0ADA">
    <w:pPr>
      <w:pStyle w:val="Intestazione"/>
      <w:jc w:val="center"/>
      <w:rPr>
        <w:rFonts w:ascii="Century" w:hAnsi="Century"/>
        <w:b/>
        <w:bCs/>
        <w:i/>
        <w:iCs/>
        <w:sz w:val="31"/>
        <w:szCs w:val="31"/>
      </w:rPr>
    </w:pPr>
    <w:r w:rsidRPr="006E0FE1">
      <w:rPr>
        <w:rFonts w:ascii="Century" w:hAnsi="Century"/>
        <w:b/>
        <w:bCs/>
        <w:i/>
        <w:iCs/>
        <w:sz w:val="27"/>
        <w:szCs w:val="27"/>
      </w:rPr>
      <w:t>STUDIO BELCASTRO</w:t>
    </w:r>
  </w:p>
  <w:p w14:paraId="3F173899" w14:textId="77777777" w:rsidR="006A0ADA" w:rsidRPr="006E0FE1" w:rsidRDefault="006A0ADA">
    <w:pPr>
      <w:pStyle w:val="Intestazione"/>
      <w:jc w:val="center"/>
      <w:rPr>
        <w:rFonts w:ascii="Century" w:hAnsi="Century"/>
        <w:b/>
        <w:bCs/>
        <w:i/>
        <w:iCs/>
        <w:sz w:val="42"/>
        <w:szCs w:val="4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79F8"/>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6F45FD8"/>
    <w:multiLevelType w:val="multilevel"/>
    <w:tmpl w:val="56D6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F7240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0E283DBC"/>
    <w:multiLevelType w:val="hybridMultilevel"/>
    <w:tmpl w:val="ECBC7386"/>
    <w:lvl w:ilvl="0" w:tplc="75F470E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4C873A9"/>
    <w:multiLevelType w:val="hybridMultilevel"/>
    <w:tmpl w:val="E7204F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982F8F"/>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25CE105D"/>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2E0E19F9"/>
    <w:multiLevelType w:val="hybridMultilevel"/>
    <w:tmpl w:val="34A89F64"/>
    <w:lvl w:ilvl="0" w:tplc="83421DE0">
      <w:numFmt w:val="bullet"/>
      <w:lvlText w:val=""/>
      <w:lvlJc w:val="left"/>
      <w:pPr>
        <w:tabs>
          <w:tab w:val="num" w:pos="1069"/>
        </w:tabs>
        <w:ind w:left="1069" w:hanging="360"/>
      </w:pPr>
      <w:rPr>
        <w:rFonts w:ascii="Symbol" w:eastAsia="Times New Roman" w:hAnsi="Symbol" w:cs="Times New Roman" w:hint="default"/>
      </w:rPr>
    </w:lvl>
    <w:lvl w:ilvl="1" w:tplc="04100003" w:tentative="1">
      <w:start w:val="1"/>
      <w:numFmt w:val="bullet"/>
      <w:lvlText w:val="o"/>
      <w:lvlJc w:val="left"/>
      <w:pPr>
        <w:tabs>
          <w:tab w:val="num" w:pos="1789"/>
        </w:tabs>
        <w:ind w:left="1789" w:hanging="360"/>
      </w:pPr>
      <w:rPr>
        <w:rFonts w:ascii="Courier New" w:hAnsi="Courier New" w:cs="Courier New" w:hint="default"/>
      </w:rPr>
    </w:lvl>
    <w:lvl w:ilvl="2" w:tplc="04100005" w:tentative="1">
      <w:start w:val="1"/>
      <w:numFmt w:val="bullet"/>
      <w:lvlText w:val=""/>
      <w:lvlJc w:val="left"/>
      <w:pPr>
        <w:tabs>
          <w:tab w:val="num" w:pos="2509"/>
        </w:tabs>
        <w:ind w:left="2509" w:hanging="360"/>
      </w:pPr>
      <w:rPr>
        <w:rFonts w:ascii="Wingdings" w:hAnsi="Wingdings" w:hint="default"/>
      </w:rPr>
    </w:lvl>
    <w:lvl w:ilvl="3" w:tplc="04100001" w:tentative="1">
      <w:start w:val="1"/>
      <w:numFmt w:val="bullet"/>
      <w:lvlText w:val=""/>
      <w:lvlJc w:val="left"/>
      <w:pPr>
        <w:tabs>
          <w:tab w:val="num" w:pos="3229"/>
        </w:tabs>
        <w:ind w:left="3229" w:hanging="360"/>
      </w:pPr>
      <w:rPr>
        <w:rFonts w:ascii="Symbol" w:hAnsi="Symbol" w:hint="default"/>
      </w:rPr>
    </w:lvl>
    <w:lvl w:ilvl="4" w:tplc="04100003" w:tentative="1">
      <w:start w:val="1"/>
      <w:numFmt w:val="bullet"/>
      <w:lvlText w:val="o"/>
      <w:lvlJc w:val="left"/>
      <w:pPr>
        <w:tabs>
          <w:tab w:val="num" w:pos="3949"/>
        </w:tabs>
        <w:ind w:left="3949" w:hanging="360"/>
      </w:pPr>
      <w:rPr>
        <w:rFonts w:ascii="Courier New" w:hAnsi="Courier New" w:cs="Courier New" w:hint="default"/>
      </w:rPr>
    </w:lvl>
    <w:lvl w:ilvl="5" w:tplc="04100005" w:tentative="1">
      <w:start w:val="1"/>
      <w:numFmt w:val="bullet"/>
      <w:lvlText w:val=""/>
      <w:lvlJc w:val="left"/>
      <w:pPr>
        <w:tabs>
          <w:tab w:val="num" w:pos="4669"/>
        </w:tabs>
        <w:ind w:left="4669" w:hanging="360"/>
      </w:pPr>
      <w:rPr>
        <w:rFonts w:ascii="Wingdings" w:hAnsi="Wingdings" w:hint="default"/>
      </w:rPr>
    </w:lvl>
    <w:lvl w:ilvl="6" w:tplc="04100001" w:tentative="1">
      <w:start w:val="1"/>
      <w:numFmt w:val="bullet"/>
      <w:lvlText w:val=""/>
      <w:lvlJc w:val="left"/>
      <w:pPr>
        <w:tabs>
          <w:tab w:val="num" w:pos="5389"/>
        </w:tabs>
        <w:ind w:left="5389" w:hanging="360"/>
      </w:pPr>
      <w:rPr>
        <w:rFonts w:ascii="Symbol" w:hAnsi="Symbol" w:hint="default"/>
      </w:rPr>
    </w:lvl>
    <w:lvl w:ilvl="7" w:tplc="04100003" w:tentative="1">
      <w:start w:val="1"/>
      <w:numFmt w:val="bullet"/>
      <w:lvlText w:val="o"/>
      <w:lvlJc w:val="left"/>
      <w:pPr>
        <w:tabs>
          <w:tab w:val="num" w:pos="6109"/>
        </w:tabs>
        <w:ind w:left="6109" w:hanging="360"/>
      </w:pPr>
      <w:rPr>
        <w:rFonts w:ascii="Courier New" w:hAnsi="Courier New" w:cs="Courier New" w:hint="default"/>
      </w:rPr>
    </w:lvl>
    <w:lvl w:ilvl="8" w:tplc="0410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374D3131"/>
    <w:multiLevelType w:val="hybridMultilevel"/>
    <w:tmpl w:val="2D6ABF36"/>
    <w:lvl w:ilvl="0" w:tplc="B4CED25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F264749"/>
    <w:multiLevelType w:val="hybridMultilevel"/>
    <w:tmpl w:val="E6B0B2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60908EC"/>
    <w:multiLevelType w:val="hybridMultilevel"/>
    <w:tmpl w:val="0908F21E"/>
    <w:lvl w:ilvl="0" w:tplc="75FA78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FA54443"/>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536175F6"/>
    <w:multiLevelType w:val="multilevel"/>
    <w:tmpl w:val="3E7A356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5784267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60D21B60"/>
    <w:multiLevelType w:val="hybridMultilevel"/>
    <w:tmpl w:val="81AE8CAE"/>
    <w:lvl w:ilvl="0" w:tplc="F29E3700">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765610E"/>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752C69B3"/>
    <w:multiLevelType w:val="multilevel"/>
    <w:tmpl w:val="954AC56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799A4D3B"/>
    <w:multiLevelType w:val="hybridMultilevel"/>
    <w:tmpl w:val="1AC69A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AF83C5E"/>
    <w:multiLevelType w:val="hybridMultilevel"/>
    <w:tmpl w:val="C07E21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2667244">
    <w:abstractNumId w:val="7"/>
  </w:num>
  <w:num w:numId="2" w16cid:durableId="662272964">
    <w:abstractNumId w:val="12"/>
  </w:num>
  <w:num w:numId="3" w16cid:durableId="353776043">
    <w:abstractNumId w:val="16"/>
  </w:num>
  <w:num w:numId="4" w16cid:durableId="1616669055">
    <w:abstractNumId w:val="5"/>
  </w:num>
  <w:num w:numId="5" w16cid:durableId="1844130009">
    <w:abstractNumId w:val="4"/>
  </w:num>
  <w:num w:numId="6" w16cid:durableId="2116631285">
    <w:abstractNumId w:val="10"/>
  </w:num>
  <w:num w:numId="7" w16cid:durableId="1462921736">
    <w:abstractNumId w:val="17"/>
  </w:num>
  <w:num w:numId="8" w16cid:durableId="95254443">
    <w:abstractNumId w:val="9"/>
  </w:num>
  <w:num w:numId="9" w16cid:durableId="272784366">
    <w:abstractNumId w:val="11"/>
  </w:num>
  <w:num w:numId="10" w16cid:durableId="551423960">
    <w:abstractNumId w:val="6"/>
  </w:num>
  <w:num w:numId="11" w16cid:durableId="1853564208">
    <w:abstractNumId w:val="0"/>
  </w:num>
  <w:num w:numId="12" w16cid:durableId="800532907">
    <w:abstractNumId w:val="2"/>
  </w:num>
  <w:num w:numId="13" w16cid:durableId="463816025">
    <w:abstractNumId w:val="13"/>
  </w:num>
  <w:num w:numId="14" w16cid:durableId="2102797573">
    <w:abstractNumId w:val="15"/>
  </w:num>
  <w:num w:numId="15" w16cid:durableId="1331981394">
    <w:abstractNumId w:val="18"/>
  </w:num>
  <w:num w:numId="16" w16cid:durableId="261425994">
    <w:abstractNumId w:val="3"/>
  </w:num>
  <w:num w:numId="17" w16cid:durableId="687219582">
    <w:abstractNumId w:val="8"/>
  </w:num>
  <w:num w:numId="18" w16cid:durableId="425343916">
    <w:abstractNumId w:val="14"/>
  </w:num>
  <w:num w:numId="19" w16cid:durableId="521167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0FE1"/>
    <w:rsid w:val="000041B0"/>
    <w:rsid w:val="002B2E80"/>
    <w:rsid w:val="002B4DD3"/>
    <w:rsid w:val="003556F9"/>
    <w:rsid w:val="0037360F"/>
    <w:rsid w:val="00394758"/>
    <w:rsid w:val="00534569"/>
    <w:rsid w:val="0054469D"/>
    <w:rsid w:val="005D1430"/>
    <w:rsid w:val="00627F03"/>
    <w:rsid w:val="00637D2C"/>
    <w:rsid w:val="00695650"/>
    <w:rsid w:val="006A0ADA"/>
    <w:rsid w:val="006A41A2"/>
    <w:rsid w:val="006E0FE1"/>
    <w:rsid w:val="006F7B3E"/>
    <w:rsid w:val="00710C35"/>
    <w:rsid w:val="00710D33"/>
    <w:rsid w:val="007279FD"/>
    <w:rsid w:val="00746C16"/>
    <w:rsid w:val="007605B6"/>
    <w:rsid w:val="007760E9"/>
    <w:rsid w:val="00864620"/>
    <w:rsid w:val="008E38AF"/>
    <w:rsid w:val="00913301"/>
    <w:rsid w:val="009C4667"/>
    <w:rsid w:val="00A250B0"/>
    <w:rsid w:val="00A32F6D"/>
    <w:rsid w:val="00B47718"/>
    <w:rsid w:val="00B827D3"/>
    <w:rsid w:val="00B93C06"/>
    <w:rsid w:val="00BA3538"/>
    <w:rsid w:val="00BB12F6"/>
    <w:rsid w:val="00C46AF2"/>
    <w:rsid w:val="00CB1497"/>
    <w:rsid w:val="00CC35B9"/>
    <w:rsid w:val="00DF5BE5"/>
    <w:rsid w:val="00DF6D65"/>
    <w:rsid w:val="00E2323C"/>
    <w:rsid w:val="00EE27B3"/>
    <w:rsid w:val="00F24E1A"/>
    <w:rsid w:val="00F84834"/>
    <w:rsid w:val="00FB0ADB"/>
    <w:rsid w:val="00FD4C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C67A"/>
  <w15:docId w15:val="{98EBD263-6EC8-4EA1-A020-DFFDE69C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FE1"/>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6E0FE1"/>
    <w:pPr>
      <w:keepNext/>
      <w:outlineLvl w:val="1"/>
    </w:pPr>
    <w:rPr>
      <w:rFonts w:ascii="Century" w:hAnsi="Century"/>
      <w:b/>
      <w:bCs/>
      <w:i/>
      <w:iCs/>
      <w:sz w:val="36"/>
    </w:rPr>
  </w:style>
  <w:style w:type="paragraph" w:styleId="Titolo3">
    <w:name w:val="heading 3"/>
    <w:basedOn w:val="Normale"/>
    <w:next w:val="Normale"/>
    <w:link w:val="Titolo3Carattere"/>
    <w:qFormat/>
    <w:rsid w:val="006E0FE1"/>
    <w:pPr>
      <w:keepNext/>
      <w:outlineLvl w:val="2"/>
    </w:pPr>
    <w:rPr>
      <w:rFonts w:ascii="Century" w:hAnsi="Century"/>
      <w:b/>
      <w:bCs/>
      <w:i/>
      <w:iCs/>
    </w:rPr>
  </w:style>
  <w:style w:type="paragraph" w:styleId="Titolo4">
    <w:name w:val="heading 4"/>
    <w:basedOn w:val="Normale"/>
    <w:next w:val="Normale"/>
    <w:link w:val="Titolo4Carattere"/>
    <w:qFormat/>
    <w:rsid w:val="006E0FE1"/>
    <w:pPr>
      <w:keepNext/>
      <w:outlineLvl w:val="3"/>
    </w:pPr>
    <w:rPr>
      <w:rFonts w:ascii="Century" w:hAnsi="Century"/>
      <w:b/>
      <w:bCs/>
      <w:i/>
      <w:iCs/>
      <w:sz w:val="20"/>
    </w:rPr>
  </w:style>
  <w:style w:type="paragraph" w:styleId="Titolo5">
    <w:name w:val="heading 5"/>
    <w:basedOn w:val="Normale"/>
    <w:next w:val="Normale"/>
    <w:link w:val="Titolo5Carattere"/>
    <w:qFormat/>
    <w:rsid w:val="006E0FE1"/>
    <w:pPr>
      <w:keepNext/>
      <w:outlineLvl w:val="4"/>
    </w:pPr>
    <w:rPr>
      <w:rFonts w:ascii="Century" w:hAnsi="Century"/>
      <w:b/>
      <w:bCs/>
      <w:i/>
      <w:iCs/>
      <w:sz w:val="18"/>
    </w:rPr>
  </w:style>
  <w:style w:type="paragraph" w:styleId="Titolo7">
    <w:name w:val="heading 7"/>
    <w:basedOn w:val="Normale"/>
    <w:next w:val="Normale"/>
    <w:link w:val="Titolo7Carattere"/>
    <w:qFormat/>
    <w:rsid w:val="006E0FE1"/>
    <w:pPr>
      <w:keepNext/>
      <w:jc w:val="both"/>
      <w:outlineLvl w:val="6"/>
    </w:pPr>
    <w:rPr>
      <w:rFonts w:ascii="Century" w:hAnsi="Century"/>
      <w:b/>
      <w:bCs/>
      <w:i/>
      <w:i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6E0FE1"/>
    <w:rPr>
      <w:rFonts w:ascii="Century" w:eastAsia="Times New Roman" w:hAnsi="Century" w:cs="Times New Roman"/>
      <w:b/>
      <w:bCs/>
      <w:i/>
      <w:iCs/>
      <w:sz w:val="36"/>
      <w:szCs w:val="24"/>
      <w:lang w:eastAsia="it-IT"/>
    </w:rPr>
  </w:style>
  <w:style w:type="character" w:customStyle="1" w:styleId="Titolo3Carattere">
    <w:name w:val="Titolo 3 Carattere"/>
    <w:basedOn w:val="Carpredefinitoparagrafo"/>
    <w:link w:val="Titolo3"/>
    <w:rsid w:val="006E0FE1"/>
    <w:rPr>
      <w:rFonts w:ascii="Century" w:eastAsia="Times New Roman" w:hAnsi="Century" w:cs="Times New Roman"/>
      <w:b/>
      <w:bCs/>
      <w:i/>
      <w:iCs/>
      <w:sz w:val="24"/>
      <w:szCs w:val="24"/>
      <w:lang w:eastAsia="it-IT"/>
    </w:rPr>
  </w:style>
  <w:style w:type="character" w:customStyle="1" w:styleId="Titolo4Carattere">
    <w:name w:val="Titolo 4 Carattere"/>
    <w:basedOn w:val="Carpredefinitoparagrafo"/>
    <w:link w:val="Titolo4"/>
    <w:rsid w:val="006E0FE1"/>
    <w:rPr>
      <w:rFonts w:ascii="Century" w:eastAsia="Times New Roman" w:hAnsi="Century" w:cs="Times New Roman"/>
      <w:b/>
      <w:bCs/>
      <w:i/>
      <w:iCs/>
      <w:sz w:val="20"/>
      <w:szCs w:val="24"/>
      <w:lang w:eastAsia="it-IT"/>
    </w:rPr>
  </w:style>
  <w:style w:type="character" w:customStyle="1" w:styleId="Titolo5Carattere">
    <w:name w:val="Titolo 5 Carattere"/>
    <w:basedOn w:val="Carpredefinitoparagrafo"/>
    <w:link w:val="Titolo5"/>
    <w:rsid w:val="006E0FE1"/>
    <w:rPr>
      <w:rFonts w:ascii="Century" w:eastAsia="Times New Roman" w:hAnsi="Century" w:cs="Times New Roman"/>
      <w:b/>
      <w:bCs/>
      <w:i/>
      <w:iCs/>
      <w:sz w:val="18"/>
      <w:szCs w:val="24"/>
      <w:lang w:eastAsia="it-IT"/>
    </w:rPr>
  </w:style>
  <w:style w:type="character" w:customStyle="1" w:styleId="Titolo7Carattere">
    <w:name w:val="Titolo 7 Carattere"/>
    <w:basedOn w:val="Carpredefinitoparagrafo"/>
    <w:link w:val="Titolo7"/>
    <w:rsid w:val="006E0FE1"/>
    <w:rPr>
      <w:rFonts w:ascii="Century" w:eastAsia="Times New Roman" w:hAnsi="Century" w:cs="Times New Roman"/>
      <w:b/>
      <w:bCs/>
      <w:i/>
      <w:iCs/>
      <w:sz w:val="24"/>
      <w:szCs w:val="24"/>
      <w:lang w:eastAsia="it-IT"/>
    </w:rPr>
  </w:style>
  <w:style w:type="paragraph" w:styleId="Corpotesto">
    <w:name w:val="Body Text"/>
    <w:basedOn w:val="Normale"/>
    <w:link w:val="CorpotestoCarattere"/>
    <w:rsid w:val="006E0FE1"/>
    <w:rPr>
      <w:rFonts w:ascii="Century" w:hAnsi="Century"/>
      <w:b/>
      <w:bCs/>
      <w:i/>
      <w:iCs/>
      <w:sz w:val="20"/>
    </w:rPr>
  </w:style>
  <w:style w:type="character" w:customStyle="1" w:styleId="CorpotestoCarattere">
    <w:name w:val="Corpo testo Carattere"/>
    <w:basedOn w:val="Carpredefinitoparagrafo"/>
    <w:link w:val="Corpotesto"/>
    <w:rsid w:val="006E0FE1"/>
    <w:rPr>
      <w:rFonts w:ascii="Century" w:eastAsia="Times New Roman" w:hAnsi="Century" w:cs="Times New Roman"/>
      <w:b/>
      <w:bCs/>
      <w:i/>
      <w:iCs/>
      <w:sz w:val="20"/>
      <w:szCs w:val="24"/>
      <w:lang w:eastAsia="it-IT"/>
    </w:rPr>
  </w:style>
  <w:style w:type="character" w:styleId="Collegamentoipertestuale">
    <w:name w:val="Hyperlink"/>
    <w:basedOn w:val="Carpredefinitoparagrafo"/>
    <w:rsid w:val="006E0FE1"/>
    <w:rPr>
      <w:color w:val="0000FF"/>
      <w:u w:val="single"/>
    </w:rPr>
  </w:style>
  <w:style w:type="paragraph" w:styleId="Pidipagina">
    <w:name w:val="footer"/>
    <w:basedOn w:val="Normale"/>
    <w:link w:val="PidipaginaCarattere"/>
    <w:rsid w:val="006E0FE1"/>
    <w:pPr>
      <w:tabs>
        <w:tab w:val="center" w:pos="4819"/>
        <w:tab w:val="right" w:pos="9638"/>
      </w:tabs>
    </w:pPr>
  </w:style>
  <w:style w:type="character" w:customStyle="1" w:styleId="PidipaginaCarattere">
    <w:name w:val="Piè di pagina Carattere"/>
    <w:basedOn w:val="Carpredefinitoparagrafo"/>
    <w:link w:val="Pidipagina"/>
    <w:rsid w:val="006E0FE1"/>
    <w:rPr>
      <w:rFonts w:ascii="Times New Roman" w:eastAsia="Times New Roman" w:hAnsi="Times New Roman" w:cs="Times New Roman"/>
      <w:sz w:val="24"/>
      <w:szCs w:val="24"/>
      <w:lang w:eastAsia="it-IT"/>
    </w:rPr>
  </w:style>
  <w:style w:type="character" w:styleId="Numeropagina">
    <w:name w:val="page number"/>
    <w:basedOn w:val="Carpredefinitoparagrafo"/>
    <w:rsid w:val="006E0FE1"/>
  </w:style>
  <w:style w:type="paragraph" w:styleId="Intestazione">
    <w:name w:val="header"/>
    <w:basedOn w:val="Normale"/>
    <w:link w:val="IntestazioneCarattere"/>
    <w:rsid w:val="006E0FE1"/>
    <w:pPr>
      <w:tabs>
        <w:tab w:val="center" w:pos="4819"/>
        <w:tab w:val="right" w:pos="9638"/>
      </w:tabs>
    </w:pPr>
  </w:style>
  <w:style w:type="character" w:customStyle="1" w:styleId="IntestazioneCarattere">
    <w:name w:val="Intestazione Carattere"/>
    <w:basedOn w:val="Carpredefinitoparagrafo"/>
    <w:link w:val="Intestazione"/>
    <w:rsid w:val="006E0FE1"/>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rsid w:val="006E0FE1"/>
    <w:pPr>
      <w:jc w:val="both"/>
    </w:pPr>
    <w:rPr>
      <w:rFonts w:ascii="Century" w:hAnsi="Century"/>
      <w:b/>
      <w:bCs/>
      <w:i/>
      <w:iCs/>
    </w:rPr>
  </w:style>
  <w:style w:type="character" w:customStyle="1" w:styleId="Corpodeltesto2Carattere">
    <w:name w:val="Corpo del testo 2 Carattere"/>
    <w:basedOn w:val="Carpredefinitoparagrafo"/>
    <w:link w:val="Corpodeltesto2"/>
    <w:rsid w:val="006E0FE1"/>
    <w:rPr>
      <w:rFonts w:ascii="Century" w:eastAsia="Times New Roman" w:hAnsi="Century" w:cs="Times New Roman"/>
      <w:b/>
      <w:bCs/>
      <w:i/>
      <w:iCs/>
      <w:sz w:val="24"/>
      <w:szCs w:val="24"/>
      <w:lang w:eastAsia="it-IT"/>
    </w:rPr>
  </w:style>
  <w:style w:type="paragraph" w:styleId="Testofumetto">
    <w:name w:val="Balloon Text"/>
    <w:basedOn w:val="Normale"/>
    <w:link w:val="TestofumettoCarattere"/>
    <w:uiPriority w:val="99"/>
    <w:semiHidden/>
    <w:unhideWhenUsed/>
    <w:rsid w:val="006E0F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0FE1"/>
    <w:rPr>
      <w:rFonts w:ascii="Tahoma" w:eastAsia="Times New Roman" w:hAnsi="Tahoma" w:cs="Tahoma"/>
      <w:sz w:val="16"/>
      <w:szCs w:val="16"/>
      <w:lang w:eastAsia="it-IT"/>
    </w:rPr>
  </w:style>
  <w:style w:type="paragraph" w:styleId="Paragrafoelenco">
    <w:name w:val="List Paragraph"/>
    <w:basedOn w:val="Normale"/>
    <w:uiPriority w:val="34"/>
    <w:qFormat/>
    <w:rsid w:val="006A41A2"/>
    <w:pPr>
      <w:ind w:left="720"/>
      <w:contextualSpacing/>
    </w:pPr>
  </w:style>
  <w:style w:type="character" w:styleId="Menzionenonrisolta">
    <w:name w:val="Unresolved Mention"/>
    <w:basedOn w:val="Carpredefinitoparagrafo"/>
    <w:uiPriority w:val="99"/>
    <w:semiHidden/>
    <w:unhideWhenUsed/>
    <w:rsid w:val="00864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unica.com.ai/articolo/1048433" TargetMode="External"/><Relationship Id="rId13" Type="http://schemas.openxmlformats.org/officeDocument/2006/relationships/hyperlink" Target="https://lunica.com.ai/articolo/104862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unica.com.ai/articolo/2079469" TargetMode="External"/><Relationship Id="rId12" Type="http://schemas.openxmlformats.org/officeDocument/2006/relationships/hyperlink" Target="https://lunica.com.ai/articolo/2081876"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nica.com.ai/articolo/1601164"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lunica.com.ai/articolo/160116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unica.com.ai/articolo/1048433" TargetMode="Externa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2" Type="http://schemas.openxmlformats.org/officeDocument/2006/relationships/hyperlink" Target="http://www.studiobelcastro.it" TargetMode="External"/><Relationship Id="rId1" Type="http://schemas.openxmlformats.org/officeDocument/2006/relationships/hyperlink" Target="mailto:claudio.belcastro@studiobelcastr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3</Pages>
  <Words>1087</Words>
  <Characters>6200</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Nodo5</cp:lastModifiedBy>
  <cp:revision>23</cp:revision>
  <cp:lastPrinted>2018-01-16T09:21:00Z</cp:lastPrinted>
  <dcterms:created xsi:type="dcterms:W3CDTF">2017-01-17T14:20:00Z</dcterms:created>
  <dcterms:modified xsi:type="dcterms:W3CDTF">2026-09-23T14:50:00Z</dcterms:modified>
</cp:coreProperties>
</file>